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72" w:rsidRDefault="00D47F72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5215"/>
        <w:gridCol w:w="1869"/>
      </w:tblGrid>
      <w:tr w:rsidR="00D47F72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619350843" r:id="rId6"/>
              </w:objec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:rsidR="00D47F72" w:rsidRDefault="00762D3B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0F1A6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 w:rsidP="006D0E4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762D3B"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4"/>
              </w:rPr>
              <w:t>.201</w:t>
            </w:r>
            <w:r w:rsidR="00762D3B">
              <w:rPr>
                <w:rFonts w:ascii="Book Antiqua" w:eastAsia="Book Antiqua" w:hAnsi="Book Antiqua" w:cs="Book Antiqua"/>
                <w:b/>
                <w:sz w:val="24"/>
              </w:rPr>
              <w:t>9</w:t>
            </w:r>
          </w:p>
        </w:tc>
      </w:tr>
      <w:tr w:rsidR="00D47F72" w:rsidRPr="00132331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Times New Roman"/>
                <w:b/>
                <w:sz w:val="28"/>
                <w:szCs w:val="28"/>
              </w:rPr>
            </w:pPr>
            <w:r w:rsidRPr="00132331">
              <w:rPr>
                <w:rFonts w:eastAsia="Book Antiqua" w:cs="Times New Roman"/>
                <w:b/>
                <w:sz w:val="28"/>
                <w:szCs w:val="28"/>
              </w:rPr>
              <w:t>W y d a n i e    d o w o d u    o s o b i s t e g o</w:t>
            </w:r>
          </w:p>
          <w:p w:rsidR="00D47F72" w:rsidRPr="00132331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Book Antiqua" w:cs="Times New Roman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2753"/>
        <w:gridCol w:w="2547"/>
      </w:tblGrid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Miejsce za</w:t>
            </w:r>
            <w:r w:rsidRPr="00132331">
              <w:rPr>
                <w:rFonts w:eastAsia="Calibri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</w:p>
          <w:p w:rsidR="00D47F72" w:rsidRPr="00132331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Book Antiqua" w:cs="Times New Roman"/>
                <w:sz w:val="24"/>
                <w:szCs w:val="24"/>
              </w:rPr>
              <w:t xml:space="preserve">Referat </w:t>
            </w:r>
            <w:proofErr w:type="spellStart"/>
            <w:r>
              <w:rPr>
                <w:rFonts w:eastAsia="Book Antiqua" w:cs="Times New Roman"/>
                <w:sz w:val="24"/>
                <w:szCs w:val="24"/>
              </w:rPr>
              <w:t>Organizacyjno</w:t>
            </w:r>
            <w:proofErr w:type="spellEnd"/>
            <w:r>
              <w:rPr>
                <w:rFonts w:eastAsia="Book Antiqua" w:cs="Times New Roman"/>
                <w:sz w:val="24"/>
                <w:szCs w:val="24"/>
              </w:rPr>
              <w:t xml:space="preserve"> - Administracyjny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Pokój nr 10, tel. 25 758 20 51 lub 25 757 91 90 e-mail: </w:t>
            </w:r>
            <w:hyperlink r:id="rId9">
              <w:r w:rsidRPr="00132331">
                <w:rPr>
                  <w:rFonts w:eastAsia="Book Antiqua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>Godziny urz</w:t>
            </w:r>
            <w:r w:rsidRPr="00132331">
              <w:rPr>
                <w:rFonts w:eastAsia="Calibri" w:cs="Times New Roman"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sz w:val="24"/>
                <w:szCs w:val="24"/>
              </w:rPr>
              <w:t>dowania: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poniedzia</w:t>
            </w:r>
            <w:r w:rsidRPr="00132331">
              <w:rPr>
                <w:rFonts w:eastAsia="Calibri" w:cs="Times New Roman"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ek           </w:t>
            </w:r>
            <w:r w:rsidR="00EC120E">
              <w:rPr>
                <w:rFonts w:eastAsia="Book Antiqua" w:cs="Times New Roman"/>
                <w:sz w:val="24"/>
                <w:szCs w:val="24"/>
              </w:rPr>
              <w:t>8</w:t>
            </w:r>
            <w:r w:rsidR="00EC120E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17</w:t>
            </w:r>
            <w:r w:rsidRPr="00132331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wtorek – </w:t>
            </w:r>
            <w:r w:rsidR="00EC120E">
              <w:rPr>
                <w:rFonts w:eastAsia="Book Antiqua" w:cs="Times New Roman"/>
                <w:sz w:val="24"/>
                <w:szCs w:val="24"/>
              </w:rPr>
              <w:t>środa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</w:t>
            </w:r>
            <w:r w:rsidR="00EC120E">
              <w:rPr>
                <w:rFonts w:eastAsia="Book Antiqua" w:cs="Times New Roman"/>
                <w:sz w:val="24"/>
                <w:szCs w:val="24"/>
              </w:rPr>
              <w:t>8</w:t>
            </w:r>
            <w:r w:rsidR="00EC120E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1</w:t>
            </w:r>
            <w:r w:rsidR="00EC120E">
              <w:rPr>
                <w:rFonts w:eastAsia="Book Antiqua" w:cs="Times New Roman"/>
                <w:sz w:val="24"/>
                <w:szCs w:val="24"/>
              </w:rPr>
              <w:t>6</w:t>
            </w:r>
            <w:r w:rsidR="00EC120E"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:rsidR="00D47F72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dzie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ń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 wewn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ę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trzny</w:t>
            </w:r>
          </w:p>
          <w:p w:rsidR="00EC120E" w:rsidRPr="00EC120E" w:rsidRDefault="00EC120E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  <w:vertAlign w:val="superscript"/>
              </w:rPr>
            </w:pPr>
            <w:r>
              <w:rPr>
                <w:rFonts w:eastAsia="Book Antiqua" w:cs="Times New Roman"/>
                <w:b/>
                <w:sz w:val="24"/>
                <w:szCs w:val="24"/>
              </w:rPr>
              <w:t xml:space="preserve">                                      </w:t>
            </w:r>
            <w:r w:rsidRPr="00EC120E">
              <w:rPr>
                <w:rFonts w:eastAsia="Book Antiqua" w:cs="Times New Roman"/>
                <w:sz w:val="24"/>
                <w:szCs w:val="24"/>
              </w:rPr>
              <w:t xml:space="preserve"> piątek </w:t>
            </w:r>
            <w:r>
              <w:rPr>
                <w:rFonts w:eastAsia="Book Antiqua" w:cs="Times New Roman"/>
                <w:sz w:val="24"/>
                <w:szCs w:val="24"/>
              </w:rPr>
              <w:t xml:space="preserve">                     8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eastAsia="Book Antiqua" w:cs="Times New Roman"/>
                <w:sz w:val="24"/>
                <w:szCs w:val="24"/>
              </w:rPr>
              <w:t>- 15</w:t>
            </w:r>
            <w:r>
              <w:rPr>
                <w:rFonts w:eastAsia="Book Antiqua" w:cs="Times New Roman"/>
                <w:sz w:val="24"/>
                <w:szCs w:val="24"/>
                <w:vertAlign w:val="superscript"/>
              </w:rPr>
              <w:t>00</w:t>
            </w:r>
          </w:p>
          <w:p w:rsidR="00132331" w:rsidRPr="00132331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132331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D47F72" w:rsidRPr="00762D3B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theme="minorHAnsi"/>
                <w:sz w:val="24"/>
                <w:szCs w:val="24"/>
              </w:rPr>
            </w:pPr>
            <w:r w:rsidRPr="00762D3B">
              <w:rPr>
                <w:rFonts w:eastAsia="Calibri" w:cstheme="minorHAnsi"/>
                <w:sz w:val="24"/>
                <w:szCs w:val="24"/>
              </w:rPr>
              <w:t>Monika Michalczyk</w:t>
            </w:r>
            <w:r w:rsidR="000F1A60" w:rsidRPr="00762D3B">
              <w:rPr>
                <w:rFonts w:eastAsia="Book Antiqua" w:cstheme="minorHAnsi"/>
                <w:sz w:val="24"/>
                <w:szCs w:val="24"/>
              </w:rPr>
              <w:t xml:space="preserve"> – </w:t>
            </w:r>
            <w:r w:rsidRPr="00762D3B">
              <w:rPr>
                <w:rFonts w:eastAsia="Calibri" w:cstheme="minorHAnsi"/>
                <w:sz w:val="24"/>
                <w:szCs w:val="24"/>
              </w:rPr>
              <w:t>inspektor</w:t>
            </w:r>
            <w:r w:rsidR="000F1A60" w:rsidRPr="00762D3B">
              <w:rPr>
                <w:rFonts w:eastAsia="Book Antiqua" w:cstheme="minorHAnsi"/>
                <w:sz w:val="24"/>
                <w:szCs w:val="24"/>
              </w:rPr>
              <w:t xml:space="preserve"> </w:t>
            </w:r>
            <w:r w:rsidR="000F1A60" w:rsidRPr="00762D3B">
              <w:rPr>
                <w:rFonts w:eastAsia="Calibri" w:cstheme="minorHAnsi"/>
                <w:sz w:val="24"/>
                <w:szCs w:val="24"/>
              </w:rPr>
              <w:t xml:space="preserve">ds. </w:t>
            </w:r>
            <w:r w:rsidR="000F1A60" w:rsidRPr="00762D3B">
              <w:rPr>
                <w:rFonts w:eastAsia="Book Antiqua" w:cstheme="minorHAnsi"/>
                <w:sz w:val="24"/>
                <w:szCs w:val="24"/>
              </w:rPr>
              <w:t>wojskowych , ewidencji ludno</w:t>
            </w:r>
            <w:r w:rsidR="000F1A60" w:rsidRPr="00762D3B">
              <w:rPr>
                <w:rFonts w:eastAsia="Calibri" w:cstheme="minorHAnsi"/>
                <w:sz w:val="24"/>
                <w:szCs w:val="24"/>
              </w:rPr>
              <w:t>ś</w:t>
            </w:r>
            <w:r w:rsidR="000F1A60" w:rsidRPr="00762D3B">
              <w:rPr>
                <w:rFonts w:eastAsia="Book Antiqua" w:cstheme="minorHAnsi"/>
                <w:sz w:val="24"/>
                <w:szCs w:val="24"/>
              </w:rPr>
              <w:t>ci, dowod</w:t>
            </w:r>
            <w:r w:rsidR="000F1A60" w:rsidRPr="00762D3B">
              <w:rPr>
                <w:rFonts w:eastAsia="Calibri" w:cstheme="minorHAnsi"/>
                <w:sz w:val="24"/>
                <w:szCs w:val="24"/>
              </w:rPr>
              <w:t>ó</w:t>
            </w:r>
            <w:r w:rsidRPr="00762D3B">
              <w:rPr>
                <w:rFonts w:eastAsia="Book Antiqua" w:cstheme="minorHAnsi"/>
                <w:sz w:val="24"/>
                <w:szCs w:val="24"/>
              </w:rPr>
              <w:t>w osobistych, obrony cywilnej i zarządzania kryzysowego.</w:t>
            </w:r>
          </w:p>
          <w:p w:rsidR="00132331" w:rsidRPr="00762D3B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</w:rPr>
              <w:t>Sposób za</w:t>
            </w:r>
            <w:r w:rsidRPr="00762D3B">
              <w:rPr>
                <w:rFonts w:eastAsia="Calibri" w:cstheme="minorHAnsi"/>
                <w:b/>
                <w:sz w:val="24"/>
                <w:szCs w:val="24"/>
              </w:rPr>
              <w:t>ł</w:t>
            </w:r>
            <w:r w:rsidRPr="00762D3B">
              <w:rPr>
                <w:rFonts w:eastAsia="Book Antiqua" w:cstheme="minorHAnsi"/>
                <w:b/>
                <w:sz w:val="24"/>
                <w:szCs w:val="24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132331" w:rsidRPr="00762D3B" w:rsidRDefault="00EC120E" w:rsidP="00EC120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Osób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  <w:r w:rsidRPr="00762D3B">
              <w:rPr>
                <w:rFonts w:cstheme="minorHAnsi"/>
                <w:sz w:val="24"/>
                <w:szCs w:val="24"/>
              </w:rPr>
              <w:t xml:space="preserve">stale zamieszkałych na obszarze </w:t>
            </w:r>
            <w:r w:rsidR="00762D3B" w:rsidRPr="00762D3B">
              <w:rPr>
                <w:rFonts w:cstheme="minorHAnsi"/>
                <w:sz w:val="24"/>
                <w:szCs w:val="24"/>
              </w:rPr>
              <w:t>gminy</w:t>
            </w:r>
            <w:r w:rsidRPr="00762D3B">
              <w:rPr>
                <w:rFonts w:cstheme="minorHAnsi"/>
                <w:sz w:val="24"/>
                <w:szCs w:val="24"/>
              </w:rPr>
              <w:t xml:space="preserve"> nieposiadających zameldowania na pobyt stały, osób nigdzie niezamieszkałych przebywających stale na obszarze </w:t>
            </w:r>
            <w:r w:rsidR="00762D3B" w:rsidRPr="00762D3B">
              <w:rPr>
                <w:rFonts w:cstheme="minorHAnsi"/>
                <w:sz w:val="24"/>
                <w:szCs w:val="24"/>
              </w:rPr>
              <w:t>gminy</w:t>
            </w:r>
            <w:r w:rsidRPr="00762D3B">
              <w:rPr>
                <w:rFonts w:cstheme="minorHAnsi"/>
                <w:sz w:val="24"/>
                <w:szCs w:val="24"/>
              </w:rPr>
              <w:t xml:space="preserve">, osób stale zamieszkałych na obszarze </w:t>
            </w:r>
            <w:r w:rsidR="00762D3B" w:rsidRPr="00762D3B">
              <w:rPr>
                <w:rFonts w:cstheme="minorHAnsi"/>
                <w:sz w:val="24"/>
                <w:szCs w:val="24"/>
              </w:rPr>
              <w:t>gminy</w:t>
            </w:r>
            <w:r w:rsidRPr="00762D3B">
              <w:rPr>
                <w:rFonts w:cstheme="minorHAnsi"/>
                <w:sz w:val="24"/>
                <w:szCs w:val="24"/>
              </w:rPr>
              <w:t xml:space="preserve"> pod innym adresem niż adres ich stałego zameldowania, obywateli państw członkowskich UE niebędących obywatelami polski, stale zamieszkujących na terenie miasta i uprawnionych do korzystania z praw wyborczych </w:t>
            </w:r>
            <w:r w:rsidR="00762D3B">
              <w:rPr>
                <w:rFonts w:cstheme="minorHAnsi"/>
                <w:sz w:val="24"/>
                <w:szCs w:val="24"/>
              </w:rPr>
              <w:br/>
            </w:r>
            <w:r w:rsidRPr="00762D3B">
              <w:rPr>
                <w:rFonts w:cstheme="minorHAnsi"/>
                <w:sz w:val="24"/>
                <w:szCs w:val="24"/>
              </w:rPr>
              <w:t>w Rzeczypospolitej Polskiej.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theme="minorHAnsi"/>
                <w:b/>
                <w:sz w:val="24"/>
                <w:szCs w:val="24"/>
              </w:rPr>
            </w:pPr>
          </w:p>
          <w:p w:rsidR="00EC120E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Wniosek o wpisanie do rejestru wyborców w części A lub B.</w:t>
            </w:r>
          </w:p>
          <w:p w:rsidR="00EC120E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Pisemna deklaracja zawierająca informacje niezbędne do wpisania do rejestru wyborców.</w:t>
            </w:r>
          </w:p>
          <w:p w:rsidR="00132331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Kserokopia ważnego dokumentu potwierdzającego tożsamość.</w:t>
            </w:r>
          </w:p>
          <w:p w:rsidR="00EC120E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</w:rPr>
              <w:t>Formularz do pobrania: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C120E" w:rsidRPr="00762D3B" w:rsidRDefault="00EC120E" w:rsidP="00EC120E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Wniosek o wpisanie do rejestru wyborców w części A lub B.</w:t>
            </w:r>
          </w:p>
          <w:p w:rsidR="00132331" w:rsidRPr="00762D3B" w:rsidRDefault="00EC120E" w:rsidP="00EC120E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Pisemna deklaracja zawierająca informacje niezbędne do wpisania do rejestru wyborców.</w:t>
            </w:r>
          </w:p>
          <w:p w:rsidR="00132331" w:rsidRPr="00762D3B" w:rsidRDefault="00132331" w:rsidP="00EC120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lastRenderedPageBreak/>
              <w:t>Op</w:t>
            </w:r>
            <w:r w:rsidRPr="00762D3B">
              <w:rPr>
                <w:rFonts w:eastAsia="Calibri" w:cstheme="minorHAnsi"/>
                <w:b/>
                <w:sz w:val="24"/>
                <w:szCs w:val="24"/>
                <w:shd w:val="clear" w:color="auto" w:fill="C0C0C0"/>
              </w:rPr>
              <w:t>ł</w:t>
            </w: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t>aty: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62D3B">
              <w:rPr>
                <w:rFonts w:eastAsia="Times New Roman" w:cstheme="minorHAnsi"/>
                <w:sz w:val="24"/>
                <w:szCs w:val="24"/>
              </w:rPr>
              <w:t>Nie podlega opłacie.</w:t>
            </w:r>
          </w:p>
          <w:p w:rsidR="00132331" w:rsidRPr="00762D3B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Calibri" w:cstheme="minorHAnsi"/>
                <w:b/>
                <w:sz w:val="24"/>
                <w:szCs w:val="24"/>
                <w:shd w:val="clear" w:color="auto" w:fill="C0C0C0"/>
              </w:rPr>
              <w:t>Termin</w:t>
            </w: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t xml:space="preserve"> za</w:t>
            </w:r>
            <w:r w:rsidRPr="00762D3B">
              <w:rPr>
                <w:rFonts w:eastAsia="Calibri" w:cstheme="minorHAnsi"/>
                <w:b/>
                <w:sz w:val="24"/>
                <w:szCs w:val="24"/>
                <w:shd w:val="clear" w:color="auto" w:fill="C0C0C0"/>
              </w:rPr>
              <w:t>ł</w:t>
            </w: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Verdana" w:cstheme="minorHAnsi"/>
                <w:sz w:val="24"/>
                <w:szCs w:val="24"/>
              </w:rPr>
            </w:pPr>
          </w:p>
          <w:p w:rsidR="00132331" w:rsidRPr="00762D3B" w:rsidRDefault="000F1A60" w:rsidP="00EC120E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Verdana" w:cstheme="minorHAnsi"/>
                <w:sz w:val="24"/>
                <w:szCs w:val="24"/>
              </w:rPr>
              <w:t xml:space="preserve">Do </w:t>
            </w:r>
            <w:r w:rsidR="00EC120E" w:rsidRPr="00762D3B">
              <w:rPr>
                <w:rFonts w:eastAsia="Verdana" w:cstheme="minorHAnsi"/>
                <w:sz w:val="24"/>
                <w:szCs w:val="24"/>
              </w:rPr>
              <w:t>5</w:t>
            </w:r>
            <w:r w:rsidRPr="00762D3B">
              <w:rPr>
                <w:rFonts w:eastAsia="Verdana" w:cstheme="minorHAnsi"/>
                <w:sz w:val="24"/>
                <w:szCs w:val="24"/>
              </w:rPr>
              <w:t xml:space="preserve"> dni</w:t>
            </w:r>
            <w:r w:rsidR="00EC120E" w:rsidRPr="00762D3B">
              <w:rPr>
                <w:rFonts w:eastAsia="Verdana" w:cstheme="minorHAnsi"/>
                <w:sz w:val="24"/>
                <w:szCs w:val="24"/>
              </w:rPr>
              <w:t>.</w:t>
            </w:r>
            <w:r w:rsidRPr="00762D3B">
              <w:rPr>
                <w:rFonts w:eastAsia="Verdana" w:cstheme="minorHAnsi"/>
                <w:sz w:val="24"/>
                <w:szCs w:val="24"/>
              </w:rPr>
              <w:t xml:space="preserve"> 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t>Tryb odwo</w:t>
            </w:r>
            <w:r w:rsidRPr="00762D3B">
              <w:rPr>
                <w:rFonts w:eastAsia="Calibri" w:cstheme="minorHAnsi"/>
                <w:b/>
                <w:sz w:val="24"/>
                <w:szCs w:val="24"/>
                <w:shd w:val="clear" w:color="auto" w:fill="C0C0C0"/>
              </w:rPr>
              <w:t>ł</w:t>
            </w:r>
            <w:r w:rsidRPr="00762D3B">
              <w:rPr>
                <w:rFonts w:eastAsia="Book Antiqua" w:cstheme="minorHAnsi"/>
                <w:b/>
                <w:sz w:val="24"/>
                <w:szCs w:val="24"/>
                <w:shd w:val="clear" w:color="auto" w:fill="C0C0C0"/>
              </w:rPr>
              <w:t>awczy: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theme="minorHAnsi"/>
                <w:sz w:val="24"/>
                <w:szCs w:val="24"/>
              </w:rPr>
            </w:pPr>
          </w:p>
          <w:p w:rsidR="00132331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Od decyzji w sprawie odmowy wpisania do rejestru wyborców przysługuje prawo wniesienia skargi do Sądu Rejonowego w Mińsku Mazowieckim za pośrednictwem</w:t>
            </w:r>
            <w:r w:rsidRPr="00762D3B">
              <w:rPr>
                <w:rFonts w:cstheme="minorHAnsi"/>
                <w:sz w:val="24"/>
                <w:szCs w:val="24"/>
              </w:rPr>
              <w:t xml:space="preserve"> Wójta Gminy Jakubów</w:t>
            </w:r>
            <w:r w:rsidRPr="00762D3B">
              <w:rPr>
                <w:rFonts w:cstheme="minorHAnsi"/>
                <w:sz w:val="24"/>
                <w:szCs w:val="24"/>
              </w:rPr>
              <w:t xml:space="preserve"> w terminie 3dni daty otrzymania decyzji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</w:rPr>
              <w:t>Podstawa prawna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762D3B" w:rsidRDefault="00132331" w:rsidP="00132331">
            <w:pPr>
              <w:spacing w:after="0" w:line="240" w:lineRule="auto"/>
              <w:ind w:left="113" w:right="113"/>
              <w:jc w:val="both"/>
              <w:rPr>
                <w:rFonts w:eastAsia="Verdana" w:cstheme="minorHAnsi"/>
                <w:b/>
                <w:color w:val="222222"/>
                <w:sz w:val="24"/>
                <w:szCs w:val="24"/>
              </w:rPr>
            </w:pPr>
          </w:p>
          <w:p w:rsidR="00EC120E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 xml:space="preserve">- </w:t>
            </w:r>
            <w:r w:rsidRPr="00762D3B">
              <w:rPr>
                <w:rFonts w:cstheme="minorHAnsi"/>
                <w:sz w:val="24"/>
                <w:szCs w:val="24"/>
              </w:rPr>
              <w:t xml:space="preserve">Ustawa z dnia 5 stycznia 2011r. – Kodeks wyborczy (Dz. U. Nr 21 poz. 112 z </w:t>
            </w:r>
            <w:proofErr w:type="spellStart"/>
            <w:r w:rsidRPr="00762D3B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762D3B">
              <w:rPr>
                <w:rFonts w:cstheme="minorHAnsi"/>
                <w:sz w:val="24"/>
                <w:szCs w:val="24"/>
              </w:rPr>
              <w:t>. zm.)</w:t>
            </w:r>
          </w:p>
          <w:p w:rsidR="00EC120E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 xml:space="preserve">- </w:t>
            </w:r>
            <w:r w:rsidRPr="00762D3B">
              <w:rPr>
                <w:rFonts w:cstheme="minorHAnsi"/>
                <w:sz w:val="24"/>
                <w:szCs w:val="24"/>
              </w:rPr>
              <w:t xml:space="preserve">Rozporządzenie Ministra Spraw Wewnętrznych a Administracji z dnia 27 lipca 2011 r. </w:t>
            </w:r>
            <w:r w:rsidR="00762D3B">
              <w:rPr>
                <w:rFonts w:cstheme="minorHAnsi"/>
                <w:sz w:val="24"/>
                <w:szCs w:val="24"/>
              </w:rPr>
              <w:br/>
            </w:r>
            <w:r w:rsidRPr="00762D3B">
              <w:rPr>
                <w:rFonts w:cstheme="minorHAnsi"/>
                <w:sz w:val="24"/>
                <w:szCs w:val="24"/>
              </w:rPr>
              <w:t>w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  <w:r w:rsidRPr="00762D3B">
              <w:rPr>
                <w:rFonts w:cstheme="minorHAnsi"/>
                <w:sz w:val="24"/>
                <w:szCs w:val="24"/>
              </w:rPr>
              <w:t>sprawie rejestru wyborców oraz trybu przekazywania przez Rzeczpospolitą Polską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32331" w:rsidRPr="00762D3B" w:rsidRDefault="00EC120E" w:rsidP="00132331">
            <w:pPr>
              <w:spacing w:after="0" w:line="240" w:lineRule="auto"/>
              <w:ind w:left="113" w:right="113"/>
              <w:jc w:val="both"/>
              <w:rPr>
                <w:rFonts w:eastAsia="Verdana" w:cstheme="minorHAnsi"/>
                <w:color w:val="222222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 xml:space="preserve">- </w:t>
            </w:r>
            <w:r w:rsidRPr="00762D3B">
              <w:rPr>
                <w:rFonts w:cstheme="minorHAnsi"/>
                <w:sz w:val="24"/>
                <w:szCs w:val="24"/>
              </w:rPr>
              <w:t xml:space="preserve">innym państwom członkowskim Unii Europejskiej danych zawartych w tym rejestrze (Dz. U. z2011 r. Nr 158 poz. 941) 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47F72" w:rsidRPr="00762D3B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cstheme="minorHAnsi"/>
                <w:sz w:val="24"/>
                <w:szCs w:val="24"/>
              </w:rPr>
            </w:pPr>
            <w:r w:rsidRPr="00762D3B">
              <w:rPr>
                <w:rFonts w:eastAsia="Book Antiqua" w:cstheme="minorHAnsi"/>
                <w:b/>
                <w:sz w:val="24"/>
                <w:szCs w:val="24"/>
              </w:rPr>
              <w:t>Informacje dodatkowe</w:t>
            </w:r>
          </w:p>
        </w:tc>
      </w:tr>
      <w:tr w:rsidR="00D47F72" w:rsidRPr="00132331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03A8" w:rsidRPr="00762D3B" w:rsidRDefault="00EC120E" w:rsidP="00EC120E">
            <w:pPr>
              <w:spacing w:after="0" w:line="240" w:lineRule="auto"/>
              <w:ind w:left="113" w:right="113"/>
              <w:jc w:val="both"/>
              <w:rPr>
                <w:rFonts w:eastAsia="Verdana" w:cstheme="minorHAnsi"/>
                <w:sz w:val="24"/>
                <w:szCs w:val="24"/>
              </w:rPr>
            </w:pPr>
            <w:r w:rsidRPr="00762D3B">
              <w:rPr>
                <w:rFonts w:cstheme="minorHAnsi"/>
                <w:sz w:val="24"/>
                <w:szCs w:val="24"/>
              </w:rPr>
              <w:t>Stały rejestr wyborców obejmuje osoby stale zamieszkałe na terenie gminy, którym przysługuje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  <w:r w:rsidRPr="00762D3B">
              <w:rPr>
                <w:rFonts w:cstheme="minorHAnsi"/>
                <w:sz w:val="24"/>
                <w:szCs w:val="24"/>
              </w:rPr>
              <w:t>prawo wybierania.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  <w:r w:rsidRPr="00762D3B">
              <w:rPr>
                <w:rFonts w:cstheme="minorHAnsi"/>
                <w:sz w:val="24"/>
                <w:szCs w:val="24"/>
              </w:rPr>
              <w:t>Do rejestru wyborców mogą dopisać się osoby:- stale zamieszkałe na terenie gminy bez zameldowania na pobyt stały,- nigdzie nie zamieszkałe stale przebywające na terenie gminy,- stale zamieszkałe na obszarze gminy pod innym adresem niż ich adres zameldowania na obszarze tej gminy,- będące obywatelami Unii Europejskiej stale zamieszkałe na obszarze gminy i uprawnione do korzystania z praw wybiorczych w Rzeczypospolitej Polskiej.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  <w:r w:rsidRPr="00762D3B">
              <w:rPr>
                <w:rFonts w:cstheme="minorHAnsi"/>
                <w:sz w:val="24"/>
                <w:szCs w:val="24"/>
              </w:rPr>
              <w:t xml:space="preserve">Urząd gminy niezwłocznie zawiadamia </w:t>
            </w:r>
            <w:r w:rsidR="00762D3B">
              <w:rPr>
                <w:rFonts w:cstheme="minorHAnsi"/>
                <w:sz w:val="24"/>
                <w:szCs w:val="24"/>
              </w:rPr>
              <w:br/>
            </w:r>
            <w:r w:rsidRPr="00762D3B">
              <w:rPr>
                <w:rFonts w:cstheme="minorHAnsi"/>
                <w:sz w:val="24"/>
                <w:szCs w:val="24"/>
              </w:rPr>
              <w:t>o dopisaniu wyborcy do rejestru wyborców urząd gminy</w:t>
            </w:r>
            <w:r w:rsidRPr="00762D3B">
              <w:rPr>
                <w:rFonts w:cstheme="minorHAnsi"/>
                <w:sz w:val="24"/>
                <w:szCs w:val="24"/>
              </w:rPr>
              <w:t xml:space="preserve"> </w:t>
            </w:r>
            <w:r w:rsidRPr="00762D3B">
              <w:rPr>
                <w:rFonts w:cstheme="minorHAnsi"/>
                <w:sz w:val="24"/>
                <w:szCs w:val="24"/>
              </w:rPr>
              <w:t>na terenie której wyborca jest zameldowany na pobyt stały</w:t>
            </w:r>
          </w:p>
        </w:tc>
      </w:tr>
      <w:tr w:rsidR="00D47F72" w:rsidRPr="00132331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Sporz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ą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a:</w:t>
            </w:r>
          </w:p>
          <w:p w:rsidR="00D47F72" w:rsidRDefault="00877949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Monika Michalczyk</w:t>
            </w:r>
          </w:p>
          <w:p w:rsidR="00745835" w:rsidRPr="00132331" w:rsidRDefault="003803A8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15.02.2018</w:t>
            </w:r>
            <w:r w:rsidR="00745835">
              <w:rPr>
                <w:rFonts w:eastAsia="Calibri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Sprawdzi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="00B408E5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Kierownik Referatu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Justyna </w:t>
            </w:r>
            <w:proofErr w:type="spellStart"/>
            <w:r w:rsidRPr="00132331">
              <w:rPr>
                <w:rFonts w:eastAsia="Book Antiqua" w:cs="Times New Roman"/>
                <w:b/>
                <w:sz w:val="24"/>
                <w:szCs w:val="24"/>
              </w:rPr>
              <w:t>Mi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aczewska</w:t>
            </w:r>
            <w:proofErr w:type="spellEnd"/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Zatwierdzi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ł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: 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eastAsia="Book Antiqua" w:cs="Times New Roman"/>
                <w:b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>W</w:t>
            </w:r>
            <w:r w:rsidRPr="00132331">
              <w:rPr>
                <w:rFonts w:eastAsia="Calibri" w:cs="Times New Roman"/>
                <w:b/>
                <w:sz w:val="24"/>
                <w:szCs w:val="24"/>
              </w:rPr>
              <w:t>ó</w:t>
            </w:r>
            <w:r w:rsidRPr="00132331">
              <w:rPr>
                <w:rFonts w:eastAsia="Book Antiqua" w:cs="Times New Roman"/>
                <w:b/>
                <w:sz w:val="24"/>
                <w:szCs w:val="24"/>
              </w:rPr>
              <w:t>jt</w:t>
            </w:r>
          </w:p>
          <w:p w:rsidR="00D47F72" w:rsidRPr="00132331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132331">
              <w:rPr>
                <w:rFonts w:eastAsia="Book Antiqua" w:cs="Times New Roman"/>
                <w:b/>
                <w:sz w:val="24"/>
                <w:szCs w:val="24"/>
              </w:rPr>
              <w:t xml:space="preserve">Hanna </w:t>
            </w:r>
            <w:proofErr w:type="spellStart"/>
            <w:r w:rsidRPr="00132331">
              <w:rPr>
                <w:rFonts w:eastAsia="Book Antiqua" w:cs="Times New Roman"/>
                <w:b/>
                <w:sz w:val="24"/>
                <w:szCs w:val="24"/>
              </w:rPr>
              <w:t>Wocial</w:t>
            </w:r>
            <w:proofErr w:type="spellEnd"/>
          </w:p>
        </w:tc>
      </w:tr>
    </w:tbl>
    <w:p w:rsidR="00D47F72" w:rsidRPr="00132331" w:rsidRDefault="00D47F72" w:rsidP="00B408E5">
      <w:pPr>
        <w:suppressAutoHyphens/>
        <w:spacing w:after="0" w:line="240" w:lineRule="auto"/>
        <w:ind w:left="113" w:right="113"/>
        <w:rPr>
          <w:rFonts w:eastAsia="Book Antiqua" w:cs="Times New Roman"/>
          <w:sz w:val="24"/>
          <w:szCs w:val="24"/>
        </w:rPr>
      </w:pPr>
    </w:p>
    <w:p w:rsidR="00D47F72" w:rsidRPr="00132331" w:rsidRDefault="00D47F72" w:rsidP="00132331">
      <w:pPr>
        <w:suppressAutoHyphens/>
        <w:spacing w:after="0" w:line="240" w:lineRule="auto"/>
        <w:ind w:left="113" w:right="113"/>
        <w:jc w:val="both"/>
        <w:rPr>
          <w:rFonts w:eastAsia="Times New Roman" w:cs="Times New Roman"/>
          <w:sz w:val="24"/>
          <w:szCs w:val="24"/>
        </w:rPr>
      </w:pPr>
    </w:p>
    <w:sectPr w:rsidR="00D47F72" w:rsidRPr="00132331" w:rsidSect="009E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72"/>
    <w:rsid w:val="000F1A60"/>
    <w:rsid w:val="00132331"/>
    <w:rsid w:val="002F4150"/>
    <w:rsid w:val="00305B8C"/>
    <w:rsid w:val="003803A8"/>
    <w:rsid w:val="00392625"/>
    <w:rsid w:val="004F12D1"/>
    <w:rsid w:val="004F13DC"/>
    <w:rsid w:val="00657800"/>
    <w:rsid w:val="006910A3"/>
    <w:rsid w:val="006D0E43"/>
    <w:rsid w:val="0071444B"/>
    <w:rsid w:val="007260AA"/>
    <w:rsid w:val="00733003"/>
    <w:rsid w:val="00745835"/>
    <w:rsid w:val="00762D3B"/>
    <w:rsid w:val="00836BE7"/>
    <w:rsid w:val="00877949"/>
    <w:rsid w:val="009E736E"/>
    <w:rsid w:val="00B408E5"/>
    <w:rsid w:val="00B436E1"/>
    <w:rsid w:val="00C00150"/>
    <w:rsid w:val="00C36D46"/>
    <w:rsid w:val="00C5396F"/>
    <w:rsid w:val="00C67654"/>
    <w:rsid w:val="00D47F72"/>
    <w:rsid w:val="00D87232"/>
    <w:rsid w:val="00EA27E9"/>
    <w:rsid w:val="00E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FC3F"/>
  <w15:docId w15:val="{A3F68EF0-5123-46E1-A623-76AD966E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Agnieszka Gogol</cp:lastModifiedBy>
  <cp:revision>2</cp:revision>
  <cp:lastPrinted>2016-09-15T07:55:00Z</cp:lastPrinted>
  <dcterms:created xsi:type="dcterms:W3CDTF">2019-05-14T12:54:00Z</dcterms:created>
  <dcterms:modified xsi:type="dcterms:W3CDTF">2019-05-14T12:54:00Z</dcterms:modified>
</cp:coreProperties>
</file>