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AB" w:rsidRDefault="00F45FAB">
      <w:pPr>
        <w:suppressAutoHyphens/>
        <w:spacing w:after="120" w:line="240" w:lineRule="auto"/>
        <w:rPr>
          <w:rFonts w:ascii="Book Antiqua" w:eastAsia="Book Antiqua" w:hAnsi="Book Antiqua" w:cs="Book Antiqua"/>
          <w:sz w:val="24"/>
        </w:rPr>
      </w:pPr>
    </w:p>
    <w:tbl>
      <w:tblPr>
        <w:tblW w:w="0" w:type="auto"/>
        <w:tblInd w:w="2" w:type="dxa"/>
        <w:tblCellMar>
          <w:left w:w="10" w:type="dxa"/>
          <w:right w:w="10" w:type="dxa"/>
        </w:tblCellMar>
        <w:tblLook w:val="0000"/>
      </w:tblPr>
      <w:tblGrid>
        <w:gridCol w:w="1955"/>
        <w:gridCol w:w="5260"/>
        <w:gridCol w:w="1861"/>
      </w:tblGrid>
      <w:tr w:rsidR="00F45FAB">
        <w:trPr>
          <w:trHeight w:val="1"/>
        </w:trPr>
        <w:tc>
          <w:tcPr>
            <w:tcW w:w="1955"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tcPr>
          <w:p w:rsidR="00F45FAB" w:rsidRDefault="00F45FAB">
            <w:pPr>
              <w:suppressLineNumbers/>
              <w:suppressAutoHyphens/>
              <w:spacing w:after="0" w:line="240" w:lineRule="auto"/>
              <w:jc w:val="center"/>
              <w:rPr>
                <w:rFonts w:ascii="Book Antiqua" w:eastAsia="Book Antiqua" w:hAnsi="Book Antiqua" w:cs="Book Antiqua"/>
                <w:b/>
                <w:i/>
                <w:sz w:val="24"/>
              </w:rPr>
            </w:pPr>
            <w:r>
              <w:object w:dxaOrig="1579" w:dyaOrig="1579">
                <v:rect id="rectole0000000000" o:spid="_x0000_i1025" style="width:78.75pt;height:78.75pt" o:ole="" o:preferrelative="t" stroked="f">
                  <v:imagedata r:id="rId4" o:title=""/>
                </v:rect>
                <o:OLEObject Type="Embed" ProgID="StaticMetafile" ShapeID="rectole0000000000" DrawAspect="Content" ObjectID="_1580810527" r:id="rId5"/>
              </w:object>
            </w: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Urz</w:t>
            </w:r>
            <w:r>
              <w:rPr>
                <w:rFonts w:ascii="Calibri" w:eastAsia="Calibri" w:hAnsi="Calibri" w:cs="Calibri"/>
                <w:b/>
                <w:sz w:val="24"/>
              </w:rPr>
              <w:t>ą</w:t>
            </w:r>
            <w:r>
              <w:rPr>
                <w:rFonts w:ascii="Book Antiqua" w:eastAsia="Book Antiqua" w:hAnsi="Book Antiqua" w:cs="Book Antiqua"/>
                <w:b/>
                <w:sz w:val="24"/>
              </w:rPr>
              <w:t>d Gminy Jakub</w:t>
            </w:r>
            <w:r>
              <w:rPr>
                <w:rFonts w:ascii="Calibri" w:eastAsia="Calibri" w:hAnsi="Calibri" w:cs="Calibri"/>
                <w:b/>
                <w:sz w:val="24"/>
              </w:rPr>
              <w:t>ó</w:t>
            </w:r>
            <w:r>
              <w:rPr>
                <w:rFonts w:ascii="Book Antiqua" w:eastAsia="Book Antiqua" w:hAnsi="Book Antiqua" w:cs="Book Antiqua"/>
                <w:b/>
                <w:sz w:val="24"/>
              </w:rPr>
              <w:t>w</w:t>
            </w:r>
          </w:p>
          <w:p w:rsidR="00F45FAB" w:rsidRDefault="00F45FAB">
            <w:pPr>
              <w:suppressLineNumbers/>
              <w:suppressAutoHyphens/>
              <w:spacing w:after="0" w:line="240" w:lineRule="auto"/>
            </w:pPr>
          </w:p>
        </w:tc>
        <w:tc>
          <w:tcPr>
            <w:tcW w:w="5260" w:type="dxa"/>
            <w:tcBorders>
              <w:top w:val="single" w:sz="2" w:space="0" w:color="000000"/>
              <w:left w:val="single" w:sz="2" w:space="0" w:color="000000"/>
              <w:bottom w:val="single" w:sz="2" w:space="0" w:color="000000"/>
              <w:right w:val="single" w:sz="0" w:space="0" w:color="000000"/>
            </w:tcBorders>
            <w:shd w:val="clear" w:color="auto" w:fill="BFBFBF"/>
            <w:tcMar>
              <w:left w:w="0" w:type="dxa"/>
              <w:right w:w="0" w:type="dxa"/>
            </w:tcMar>
            <w:vAlign w:val="center"/>
          </w:tcPr>
          <w:p w:rsidR="00F45FAB" w:rsidRDefault="00511BD7">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Urz</w:t>
            </w:r>
            <w:r>
              <w:rPr>
                <w:rFonts w:ascii="Calibri" w:eastAsia="Calibri" w:hAnsi="Calibri" w:cs="Calibri"/>
                <w:b/>
                <w:sz w:val="26"/>
              </w:rPr>
              <w:t>ą</w:t>
            </w:r>
            <w:r>
              <w:rPr>
                <w:rFonts w:ascii="Book Antiqua" w:eastAsia="Book Antiqua" w:hAnsi="Book Antiqua" w:cs="Book Antiqua"/>
                <w:b/>
                <w:sz w:val="26"/>
              </w:rPr>
              <w:t>d Gminy Jakub</w:t>
            </w:r>
            <w:r>
              <w:rPr>
                <w:rFonts w:ascii="Calibri" w:eastAsia="Calibri" w:hAnsi="Calibri" w:cs="Calibri"/>
                <w:b/>
                <w:sz w:val="26"/>
              </w:rPr>
              <w:t>ó</w:t>
            </w:r>
            <w:r>
              <w:rPr>
                <w:rFonts w:ascii="Book Antiqua" w:eastAsia="Book Antiqua" w:hAnsi="Book Antiqua" w:cs="Book Antiqua"/>
                <w:b/>
                <w:sz w:val="26"/>
              </w:rPr>
              <w:t>w</w:t>
            </w:r>
          </w:p>
          <w:p w:rsidR="00F45FAB" w:rsidRDefault="00511BD7">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ul. Mi</w:t>
            </w:r>
            <w:r>
              <w:rPr>
                <w:rFonts w:ascii="Calibri" w:eastAsia="Calibri" w:hAnsi="Calibri" w:cs="Calibri"/>
                <w:b/>
                <w:sz w:val="26"/>
              </w:rPr>
              <w:t>ń</w:t>
            </w:r>
            <w:r>
              <w:rPr>
                <w:rFonts w:ascii="Book Antiqua" w:eastAsia="Book Antiqua" w:hAnsi="Book Antiqua" w:cs="Book Antiqua"/>
                <w:b/>
                <w:sz w:val="26"/>
              </w:rPr>
              <w:t>ska 15, 05 - 306 Jakub</w:t>
            </w:r>
            <w:r>
              <w:rPr>
                <w:rFonts w:ascii="Calibri" w:eastAsia="Calibri" w:hAnsi="Calibri" w:cs="Calibri"/>
                <w:b/>
                <w:sz w:val="26"/>
              </w:rPr>
              <w:t>ó</w:t>
            </w:r>
            <w:r>
              <w:rPr>
                <w:rFonts w:ascii="Book Antiqua" w:eastAsia="Book Antiqua" w:hAnsi="Book Antiqua" w:cs="Book Antiqua"/>
                <w:b/>
                <w:sz w:val="26"/>
              </w:rPr>
              <w:t>w</w:t>
            </w:r>
          </w:p>
          <w:p w:rsidR="00F45FAB" w:rsidRDefault="00511BD7">
            <w:pPr>
              <w:spacing w:before="100" w:after="0" w:line="240" w:lineRule="auto"/>
              <w:jc w:val="center"/>
              <w:rPr>
                <w:rFonts w:ascii="Book Antiqua" w:eastAsia="Book Antiqua" w:hAnsi="Book Antiqua" w:cs="Book Antiqua"/>
                <w:b/>
                <w:sz w:val="24"/>
              </w:rPr>
            </w:pPr>
            <w:r>
              <w:rPr>
                <w:rFonts w:ascii="Book Antiqua" w:eastAsia="Book Antiqua" w:hAnsi="Book Antiqua" w:cs="Book Antiqua"/>
                <w:b/>
                <w:sz w:val="24"/>
              </w:rPr>
              <w:t xml:space="preserve">tel. 25-757-91-90, </w:t>
            </w:r>
            <w:proofErr w:type="spellStart"/>
            <w:r>
              <w:rPr>
                <w:rFonts w:ascii="Book Antiqua" w:eastAsia="Book Antiqua" w:hAnsi="Book Antiqua" w:cs="Book Antiqua"/>
                <w:b/>
                <w:sz w:val="24"/>
              </w:rPr>
              <w:t>fax</w:t>
            </w:r>
            <w:proofErr w:type="spellEnd"/>
            <w:r>
              <w:rPr>
                <w:rFonts w:ascii="Book Antiqua" w:eastAsia="Book Antiqua" w:hAnsi="Book Antiqua" w:cs="Book Antiqua"/>
                <w:b/>
                <w:sz w:val="24"/>
              </w:rPr>
              <w:t xml:space="preserve"> 25 759-97-19</w:t>
            </w:r>
          </w:p>
          <w:p w:rsidR="00F45FAB" w:rsidRDefault="00120AA8">
            <w:pPr>
              <w:spacing w:before="100" w:after="0" w:line="240" w:lineRule="auto"/>
              <w:jc w:val="center"/>
              <w:rPr>
                <w:rFonts w:ascii="Book Antiqua" w:eastAsia="Book Antiqua" w:hAnsi="Book Antiqua" w:cs="Book Antiqua"/>
                <w:b/>
                <w:sz w:val="24"/>
              </w:rPr>
            </w:pPr>
            <w:hyperlink r:id="rId6">
              <w:r w:rsidR="00511BD7">
                <w:rPr>
                  <w:rFonts w:ascii="Book Antiqua" w:eastAsia="Book Antiqua" w:hAnsi="Book Antiqua" w:cs="Book Antiqua"/>
                  <w:b/>
                  <w:color w:val="0000FF"/>
                  <w:sz w:val="24"/>
                  <w:u w:val="single"/>
                </w:rPr>
                <w:t>www.jakubow.pl</w:t>
              </w:r>
            </w:hyperlink>
          </w:p>
          <w:p w:rsidR="00F45FAB" w:rsidRDefault="00511BD7">
            <w:pPr>
              <w:spacing w:before="100" w:after="0" w:line="240" w:lineRule="auto"/>
              <w:jc w:val="center"/>
              <w:rPr>
                <w:rFonts w:ascii="Book Antiqua" w:eastAsia="Book Antiqua" w:hAnsi="Book Antiqua" w:cs="Book Antiqua"/>
                <w:sz w:val="26"/>
              </w:rPr>
            </w:pPr>
            <w:r>
              <w:rPr>
                <w:rFonts w:ascii="Book Antiqua" w:eastAsia="Book Antiqua" w:hAnsi="Book Antiqua" w:cs="Book Antiqua"/>
                <w:b/>
                <w:sz w:val="24"/>
              </w:rPr>
              <w:t xml:space="preserve">mail: </w:t>
            </w:r>
            <w:hyperlink r:id="rId7">
              <w:r>
                <w:rPr>
                  <w:rFonts w:ascii="Book Antiqua" w:eastAsia="Book Antiqua" w:hAnsi="Book Antiqua" w:cs="Book Antiqua"/>
                  <w:color w:val="000080"/>
                  <w:sz w:val="24"/>
                  <w:u w:val="single"/>
                </w:rPr>
                <w:t>sekretariat@jakubow.p</w:t>
              </w:r>
            </w:hyperlink>
            <w:r>
              <w:rPr>
                <w:rFonts w:ascii="Book Antiqua" w:eastAsia="Book Antiqua" w:hAnsi="Book Antiqua" w:cs="Book Antiqua"/>
                <w:color w:val="000080"/>
                <w:sz w:val="24"/>
                <w:u w:val="single"/>
              </w:rPr>
              <w:t>l</w:t>
            </w:r>
          </w:p>
          <w:p w:rsidR="00F45FAB" w:rsidRDefault="00F45FAB">
            <w:pPr>
              <w:suppressLineNumbers/>
              <w:suppressAutoHyphens/>
              <w:spacing w:after="0" w:line="240" w:lineRule="auto"/>
              <w:jc w:val="center"/>
            </w:pPr>
          </w:p>
        </w:tc>
        <w:tc>
          <w:tcPr>
            <w:tcW w:w="1861" w:type="dxa"/>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Karta us</w:t>
            </w:r>
            <w:r>
              <w:rPr>
                <w:rFonts w:ascii="Calibri" w:eastAsia="Calibri" w:hAnsi="Calibri" w:cs="Calibri"/>
                <w:b/>
                <w:sz w:val="24"/>
              </w:rPr>
              <w:t>ł</w:t>
            </w:r>
            <w:r>
              <w:rPr>
                <w:rFonts w:ascii="Book Antiqua" w:eastAsia="Book Antiqua" w:hAnsi="Book Antiqua" w:cs="Book Antiqua"/>
                <w:b/>
                <w:sz w:val="24"/>
              </w:rPr>
              <w:t>ug</w:t>
            </w:r>
          </w:p>
          <w:p w:rsidR="00F45FAB" w:rsidRDefault="00511BD7">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 xml:space="preserve">Nr </w:t>
            </w:r>
          </w:p>
          <w:p w:rsidR="00F45FAB" w:rsidRDefault="00F45FAB">
            <w:pPr>
              <w:suppressLineNumbers/>
              <w:suppressAutoHyphens/>
              <w:spacing w:after="0" w:line="240" w:lineRule="auto"/>
              <w:jc w:val="center"/>
              <w:rPr>
                <w:rFonts w:ascii="Book Antiqua" w:eastAsia="Book Antiqua" w:hAnsi="Book Antiqua" w:cs="Book Antiqua"/>
                <w:b/>
                <w:sz w:val="24"/>
              </w:rPr>
            </w:pPr>
          </w:p>
          <w:p w:rsidR="00F45FAB" w:rsidRDefault="00511BD7">
            <w:pPr>
              <w:suppressLineNumbers/>
              <w:suppressAutoHyphens/>
              <w:spacing w:after="0" w:line="240" w:lineRule="auto"/>
              <w:jc w:val="center"/>
            </w:pPr>
            <w:r>
              <w:rPr>
                <w:rFonts w:ascii="Book Antiqua" w:eastAsia="Book Antiqua" w:hAnsi="Book Antiqua" w:cs="Book Antiqua"/>
                <w:b/>
                <w:sz w:val="24"/>
              </w:rPr>
              <w:t>ORO.</w:t>
            </w:r>
            <w:r w:rsidR="004961B2">
              <w:rPr>
                <w:rFonts w:ascii="Book Antiqua" w:eastAsia="Book Antiqua" w:hAnsi="Book Antiqua" w:cs="Book Antiqua"/>
                <w:b/>
                <w:sz w:val="24"/>
              </w:rPr>
              <w:t>0143.</w:t>
            </w:r>
            <w:r>
              <w:rPr>
                <w:rFonts w:ascii="Book Antiqua" w:eastAsia="Book Antiqua" w:hAnsi="Book Antiqua" w:cs="Book Antiqua"/>
                <w:b/>
                <w:sz w:val="24"/>
              </w:rPr>
              <w:t>4.2013</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b/>
                <w:sz w:val="24"/>
                <w:szCs w:val="24"/>
              </w:rPr>
            </w:pPr>
          </w:p>
          <w:p w:rsidR="00F45FAB" w:rsidRPr="00511BD7" w:rsidRDefault="00E7017B" w:rsidP="00511BD7">
            <w:pPr>
              <w:suppressLineNumbers/>
              <w:suppressAutoHyphens/>
              <w:spacing w:after="0" w:line="240" w:lineRule="auto"/>
              <w:ind w:left="113" w:right="113"/>
              <w:jc w:val="center"/>
              <w:rPr>
                <w:rFonts w:eastAsia="Times New Roman" w:cs="Times New Roman"/>
                <w:b/>
                <w:sz w:val="24"/>
                <w:szCs w:val="24"/>
              </w:rPr>
            </w:pPr>
            <w:r>
              <w:rPr>
                <w:rFonts w:eastAsia="Times New Roman" w:cs="Times New Roman"/>
                <w:b/>
                <w:sz w:val="24"/>
                <w:szCs w:val="24"/>
              </w:rPr>
              <w:t>Udostępnianie danych jednostkowych z rejestru mieszkańców                                                                i rejestru zamieszkania cudzoziemców</w:t>
            </w:r>
          </w:p>
          <w:p w:rsidR="00F45FAB" w:rsidRPr="00511BD7" w:rsidRDefault="00F45FAB" w:rsidP="00511BD7">
            <w:pPr>
              <w:suppressLineNumbers/>
              <w:suppressAutoHyphens/>
              <w:spacing w:after="0" w:line="240" w:lineRule="auto"/>
              <w:ind w:left="113" w:right="113"/>
              <w:jc w:val="both"/>
              <w:rPr>
                <w:sz w:val="24"/>
                <w:szCs w:val="24"/>
              </w:rPr>
            </w:pPr>
          </w:p>
        </w:tc>
      </w:tr>
    </w:tbl>
    <w:p w:rsidR="00F45FAB" w:rsidRPr="00511BD7" w:rsidRDefault="00F45FAB" w:rsidP="00511BD7">
      <w:pPr>
        <w:suppressAutoHyphens/>
        <w:spacing w:after="0" w:line="240" w:lineRule="auto"/>
        <w:ind w:left="113" w:right="113"/>
        <w:jc w:val="both"/>
        <w:rPr>
          <w:rFonts w:eastAsia="Times New Roman" w:cs="Times New Roman"/>
          <w:sz w:val="24"/>
          <w:szCs w:val="24"/>
        </w:rPr>
      </w:pPr>
    </w:p>
    <w:tbl>
      <w:tblPr>
        <w:tblW w:w="0" w:type="auto"/>
        <w:tblInd w:w="2" w:type="dxa"/>
        <w:tblCellMar>
          <w:left w:w="10" w:type="dxa"/>
          <w:right w:w="10" w:type="dxa"/>
        </w:tblCellMar>
        <w:tblLook w:val="0000"/>
      </w:tblPr>
      <w:tblGrid>
        <w:gridCol w:w="3098"/>
        <w:gridCol w:w="2478"/>
        <w:gridCol w:w="3500"/>
      </w:tblGrid>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Miejsce załatwienia sprawy: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R</w:t>
            </w:r>
            <w:r w:rsidR="00E705D7">
              <w:rPr>
                <w:rFonts w:eastAsia="Times New Roman" w:cs="Times New Roman"/>
                <w:sz w:val="24"/>
                <w:szCs w:val="24"/>
              </w:rPr>
              <w:t>eferat Organizacyjno - Administracyjny</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Pokój nr 10, tel. 25 758 20 51 lub 25 758 24 03, e-mail: </w:t>
            </w:r>
            <w:hyperlink r:id="rId8">
              <w:r w:rsidRPr="00511BD7">
                <w:rPr>
                  <w:rFonts w:eastAsia="Times New Roman" w:cs="Times New Roman"/>
                  <w:color w:val="000080"/>
                  <w:sz w:val="24"/>
                  <w:szCs w:val="24"/>
                  <w:u w:val="single"/>
                </w:rPr>
                <w:t>j.milaczewska@jakubow.pl</w:t>
              </w:r>
            </w:hyperlink>
            <w:r w:rsidRPr="00511BD7">
              <w:rPr>
                <w:rFonts w:eastAsia="Times New Roman" w:cs="Times New Roman"/>
                <w:sz w:val="24"/>
                <w:szCs w:val="24"/>
              </w:rPr>
              <w:t xml:space="preserve"> </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                                                                                             </w:t>
            </w:r>
            <w:r w:rsidR="00E705D7">
              <w:rPr>
                <w:rFonts w:eastAsia="Times New Roman" w:cs="Times New Roman"/>
                <w:sz w:val="24"/>
                <w:szCs w:val="24"/>
              </w:rPr>
              <w:t xml:space="preserve">      </w:t>
            </w:r>
            <w:hyperlink r:id="rId9">
              <w:r w:rsidRPr="00511BD7">
                <w:rPr>
                  <w:rFonts w:eastAsia="Times New Roman" w:cs="Times New Roman"/>
                  <w:color w:val="000080"/>
                  <w:sz w:val="24"/>
                  <w:szCs w:val="24"/>
                  <w:u w:val="single"/>
                </w:rPr>
                <w:t>m.michalczyk@jakubow.pl</w:t>
              </w:r>
            </w:hyperlink>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Godziny urzędowania:</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vertAlign w:val="superscript"/>
              </w:rPr>
            </w:pPr>
            <w:r w:rsidRPr="00511BD7">
              <w:rPr>
                <w:rFonts w:eastAsia="Times New Roman" w:cs="Times New Roman"/>
                <w:sz w:val="24"/>
                <w:szCs w:val="24"/>
              </w:rPr>
              <w:t xml:space="preserve">                                       poniedziałek            7</w:t>
            </w:r>
            <w:r w:rsidRPr="00511BD7">
              <w:rPr>
                <w:rFonts w:eastAsia="Times New Roman" w:cs="Times New Roman"/>
                <w:sz w:val="24"/>
                <w:szCs w:val="24"/>
                <w:vertAlign w:val="superscript"/>
              </w:rPr>
              <w:t>30</w:t>
            </w:r>
            <w:r w:rsidRPr="00511BD7">
              <w:rPr>
                <w:rFonts w:eastAsia="Times New Roman" w:cs="Times New Roman"/>
                <w:sz w:val="24"/>
                <w:szCs w:val="24"/>
              </w:rPr>
              <w:t xml:space="preserve"> – 17</w:t>
            </w:r>
            <w:r w:rsidRPr="00511BD7">
              <w:rPr>
                <w:rFonts w:eastAsia="Times New Roman" w:cs="Times New Roman"/>
                <w:sz w:val="24"/>
                <w:szCs w:val="24"/>
                <w:vertAlign w:val="superscript"/>
              </w:rPr>
              <w:t>00</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vertAlign w:val="superscript"/>
              </w:rPr>
            </w:pPr>
            <w:r w:rsidRPr="00511BD7">
              <w:rPr>
                <w:rFonts w:eastAsia="Times New Roman" w:cs="Times New Roman"/>
                <w:sz w:val="24"/>
                <w:szCs w:val="24"/>
              </w:rPr>
              <w:t xml:space="preserve">                                       wtorek – piątek       7</w:t>
            </w:r>
            <w:r w:rsidRPr="00511BD7">
              <w:rPr>
                <w:rFonts w:eastAsia="Times New Roman" w:cs="Times New Roman"/>
                <w:sz w:val="24"/>
                <w:szCs w:val="24"/>
                <w:vertAlign w:val="superscript"/>
              </w:rPr>
              <w:t>30</w:t>
            </w:r>
            <w:r w:rsidRPr="00511BD7">
              <w:rPr>
                <w:rFonts w:eastAsia="Times New Roman" w:cs="Times New Roman"/>
                <w:sz w:val="24"/>
                <w:szCs w:val="24"/>
              </w:rPr>
              <w:t xml:space="preserve"> – 15</w:t>
            </w:r>
            <w:r w:rsidRPr="00511BD7">
              <w:rPr>
                <w:rFonts w:eastAsia="Times New Roman" w:cs="Times New Roman"/>
                <w:sz w:val="24"/>
                <w:szCs w:val="24"/>
                <w:vertAlign w:val="superscript"/>
              </w:rPr>
              <w:t>30</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sz w:val="24"/>
                <w:szCs w:val="24"/>
              </w:rPr>
              <w:t xml:space="preserve">                                       czwartek                 </w:t>
            </w:r>
            <w:r w:rsidRPr="00511BD7">
              <w:rPr>
                <w:rFonts w:eastAsia="Times New Roman" w:cs="Times New Roman"/>
                <w:b/>
                <w:sz w:val="24"/>
                <w:szCs w:val="24"/>
              </w:rPr>
              <w:t>dzień wewnętrzny</w:t>
            </w:r>
          </w:p>
          <w:p w:rsidR="00F45FAB" w:rsidRPr="00511BD7" w:rsidRDefault="00F45FAB" w:rsidP="00511B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Osoba do kontaktu:</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Justyna Miłaczewska – Kierownik Refe</w:t>
            </w:r>
            <w:r w:rsidR="00E705D7">
              <w:rPr>
                <w:rFonts w:eastAsia="Times New Roman" w:cs="Times New Roman"/>
                <w:sz w:val="24"/>
                <w:szCs w:val="24"/>
              </w:rPr>
              <w:t>ratu Organizacyjno - Administracyjnego</w:t>
            </w:r>
          </w:p>
          <w:p w:rsidR="00E705D7" w:rsidRDefault="00E705D7" w:rsidP="00E705D7">
            <w:pPr>
              <w:suppressLineNumbers/>
              <w:suppressAutoHyphens/>
              <w:spacing w:after="0" w:line="240" w:lineRule="auto"/>
              <w:ind w:left="113" w:right="113"/>
              <w:jc w:val="both"/>
              <w:rPr>
                <w:rFonts w:eastAsia="Book Antiqua" w:cs="Times New Roman"/>
                <w:sz w:val="24"/>
                <w:szCs w:val="24"/>
              </w:rPr>
            </w:pPr>
            <w:r>
              <w:rPr>
                <w:rFonts w:eastAsia="Calibri" w:cs="Times New Roman"/>
                <w:sz w:val="24"/>
                <w:szCs w:val="24"/>
              </w:rPr>
              <w:t>Monika Michalczyk</w:t>
            </w:r>
            <w:r w:rsidRPr="00132331">
              <w:rPr>
                <w:rFonts w:eastAsia="Book Antiqua" w:cs="Times New Roman"/>
                <w:sz w:val="24"/>
                <w:szCs w:val="24"/>
              </w:rPr>
              <w:t xml:space="preserve"> – </w:t>
            </w:r>
            <w:r>
              <w:rPr>
                <w:rFonts w:eastAsia="Calibri" w:cs="Times New Roman"/>
                <w:sz w:val="24"/>
                <w:szCs w:val="24"/>
              </w:rPr>
              <w:t>inspektor</w:t>
            </w:r>
            <w:r w:rsidRPr="00132331">
              <w:rPr>
                <w:rFonts w:eastAsia="Book Antiqua" w:cs="Times New Roman"/>
                <w:sz w:val="24"/>
                <w:szCs w:val="24"/>
              </w:rPr>
              <w:t xml:space="preserve"> </w:t>
            </w:r>
            <w:r w:rsidRPr="00132331">
              <w:rPr>
                <w:rFonts w:eastAsia="Calibri" w:cs="Times New Roman"/>
                <w:sz w:val="24"/>
                <w:szCs w:val="24"/>
              </w:rPr>
              <w:t xml:space="preserve">ds. </w:t>
            </w:r>
            <w:r w:rsidRPr="00132331">
              <w:rPr>
                <w:rFonts w:eastAsia="Book Antiqua" w:cs="Times New Roman"/>
                <w:sz w:val="24"/>
                <w:szCs w:val="24"/>
              </w:rPr>
              <w:t>wojskowych , ewidencji ludno</w:t>
            </w:r>
            <w:r w:rsidRPr="00132331">
              <w:rPr>
                <w:rFonts w:eastAsia="Calibri" w:cs="Times New Roman"/>
                <w:sz w:val="24"/>
                <w:szCs w:val="24"/>
              </w:rPr>
              <w:t>ś</w:t>
            </w:r>
            <w:r w:rsidRPr="00132331">
              <w:rPr>
                <w:rFonts w:eastAsia="Book Antiqua" w:cs="Times New Roman"/>
                <w:sz w:val="24"/>
                <w:szCs w:val="24"/>
              </w:rPr>
              <w:t>ci, dowod</w:t>
            </w:r>
            <w:r w:rsidRPr="00132331">
              <w:rPr>
                <w:rFonts w:eastAsia="Calibri" w:cs="Times New Roman"/>
                <w:sz w:val="24"/>
                <w:szCs w:val="24"/>
              </w:rPr>
              <w:t>ó</w:t>
            </w:r>
            <w:r>
              <w:rPr>
                <w:rFonts w:eastAsia="Book Antiqua" w:cs="Times New Roman"/>
                <w:sz w:val="24"/>
                <w:szCs w:val="24"/>
              </w:rPr>
              <w:t>w osobistych, obrony cywilnej i zarządzania kryzysowego.</w:t>
            </w:r>
          </w:p>
          <w:p w:rsidR="00F45FAB" w:rsidRPr="00511BD7" w:rsidRDefault="00F45FAB" w:rsidP="00E705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Sposób załatwienia sprawy:</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Default="00511BD7" w:rsidP="00E7017B">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Wniosek </w:t>
            </w:r>
            <w:r w:rsidR="00E7017B">
              <w:rPr>
                <w:rFonts w:eastAsia="Times New Roman" w:cs="Times New Roman"/>
                <w:sz w:val="24"/>
                <w:szCs w:val="24"/>
              </w:rPr>
              <w:t>można złożyć osobiście</w:t>
            </w:r>
            <w:r w:rsidR="007F136A">
              <w:rPr>
                <w:rFonts w:eastAsia="Times New Roman" w:cs="Times New Roman"/>
                <w:sz w:val="24"/>
                <w:szCs w:val="24"/>
              </w:rPr>
              <w:t xml:space="preserve"> w urzędzie</w:t>
            </w:r>
            <w:r w:rsidR="00E7017B">
              <w:rPr>
                <w:rFonts w:eastAsia="Times New Roman" w:cs="Times New Roman"/>
                <w:sz w:val="24"/>
                <w:szCs w:val="24"/>
              </w:rPr>
              <w:t xml:space="preserve">, </w:t>
            </w:r>
            <w:r w:rsidRPr="00511BD7">
              <w:rPr>
                <w:rFonts w:eastAsia="Times New Roman" w:cs="Times New Roman"/>
                <w:sz w:val="24"/>
                <w:szCs w:val="24"/>
              </w:rPr>
              <w:t xml:space="preserve">przesłać pocztą </w:t>
            </w:r>
            <w:r w:rsidR="00E7017B">
              <w:rPr>
                <w:rFonts w:eastAsia="Times New Roman" w:cs="Times New Roman"/>
                <w:sz w:val="24"/>
                <w:szCs w:val="24"/>
              </w:rPr>
              <w:t xml:space="preserve">lub przekazać w formie </w:t>
            </w:r>
            <w:r w:rsidR="007F136A">
              <w:rPr>
                <w:rFonts w:eastAsia="Times New Roman" w:cs="Times New Roman"/>
                <w:sz w:val="24"/>
                <w:szCs w:val="24"/>
              </w:rPr>
              <w:t>dokumentu elektronicznego przy wykorzystaniu środków komunikacji elektronicznej,                    na zasadach określonych w ustawie z dnia 17 lutego 2005 roku o informatyzacji działalności podmiotów realizujących zadania publiczne.</w:t>
            </w:r>
          </w:p>
          <w:p w:rsidR="007F136A" w:rsidRPr="00511BD7" w:rsidRDefault="007F136A" w:rsidP="00E7017B">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Wymagane dokumenty: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1.W</w:t>
            </w:r>
            <w:r w:rsidR="00511BD7" w:rsidRPr="00511BD7">
              <w:rPr>
                <w:rFonts w:eastAsia="Times New Roman" w:cs="Times New Roman"/>
                <w:sz w:val="24"/>
                <w:szCs w:val="24"/>
              </w:rPr>
              <w:t>niosek o udostępnienie danych z rejestru mieszkańców, rejestru zamieszkania cudzoziemców, rejestru PESEL</w:t>
            </w:r>
            <w:r>
              <w:rPr>
                <w:rFonts w:eastAsia="Times New Roman" w:cs="Times New Roman"/>
                <w:sz w:val="24"/>
                <w:szCs w:val="24"/>
              </w:rPr>
              <w:t>.</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2.W</w:t>
            </w:r>
            <w:r w:rsidR="00511BD7" w:rsidRPr="00511BD7">
              <w:rPr>
                <w:rFonts w:eastAsia="Times New Roman" w:cs="Times New Roman"/>
                <w:sz w:val="24"/>
                <w:szCs w:val="24"/>
              </w:rPr>
              <w:t>ezwanie sądowe, decyzja, postanowienie innego organu, tytuły wykonawcze uprawniające do otrzymania żądanych danych (w przypadku, gdy żądanie udostępnienia danych nie wynika wprost z przepisów prawa materialnego)</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3.P</w:t>
            </w:r>
            <w:r w:rsidR="00511BD7" w:rsidRPr="00511BD7">
              <w:rPr>
                <w:rFonts w:eastAsia="Times New Roman" w:cs="Times New Roman"/>
                <w:sz w:val="24"/>
                <w:szCs w:val="24"/>
              </w:rPr>
              <w:t>ełnomocnictwo – (jeżeli został ustanowiony pełnomocnik)</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4.D</w:t>
            </w:r>
            <w:r w:rsidR="00511BD7" w:rsidRPr="00511BD7">
              <w:rPr>
                <w:rFonts w:eastAsia="Times New Roman" w:cs="Times New Roman"/>
                <w:sz w:val="24"/>
                <w:szCs w:val="24"/>
              </w:rPr>
              <w:t xml:space="preserve">owód osobisty lub inny dokument potwierdzający tożsamość (do wglądu, w przypadku </w:t>
            </w:r>
            <w:r w:rsidR="00511BD7" w:rsidRPr="00511BD7">
              <w:rPr>
                <w:rFonts w:eastAsia="Times New Roman" w:cs="Times New Roman"/>
                <w:sz w:val="24"/>
                <w:szCs w:val="24"/>
              </w:rPr>
              <w:lastRenderedPageBreak/>
              <w:t>osoby fizycznej ubiegającej się o udostępnienie danych)</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5.D</w:t>
            </w:r>
            <w:r w:rsidR="00511BD7" w:rsidRPr="00511BD7">
              <w:rPr>
                <w:rFonts w:eastAsia="Times New Roman" w:cs="Times New Roman"/>
                <w:sz w:val="24"/>
                <w:szCs w:val="24"/>
              </w:rPr>
              <w:t>owód uiszczenia opłaty za udostępnienie danych jednostkowych</w:t>
            </w:r>
          </w:p>
          <w:p w:rsidR="00F45FAB" w:rsidRPr="00511BD7" w:rsidRDefault="00E705D7" w:rsidP="00511BD7">
            <w:pPr>
              <w:suppressLineNumbers/>
              <w:tabs>
                <w:tab w:val="left" w:pos="0"/>
              </w:tabs>
              <w:suppressAutoHyphens/>
              <w:spacing w:after="0" w:line="240" w:lineRule="auto"/>
              <w:ind w:left="113" w:right="113"/>
              <w:jc w:val="both"/>
              <w:rPr>
                <w:rFonts w:eastAsia="Times New Roman" w:cs="Times New Roman"/>
                <w:sz w:val="24"/>
                <w:szCs w:val="24"/>
              </w:rPr>
            </w:pPr>
            <w:r>
              <w:rPr>
                <w:rFonts w:eastAsia="Times New Roman" w:cs="Times New Roman"/>
                <w:sz w:val="24"/>
                <w:szCs w:val="24"/>
              </w:rPr>
              <w:t>6.D</w:t>
            </w:r>
            <w:r w:rsidR="00511BD7" w:rsidRPr="00511BD7">
              <w:rPr>
                <w:rFonts w:eastAsia="Times New Roman" w:cs="Times New Roman"/>
                <w:sz w:val="24"/>
                <w:szCs w:val="24"/>
              </w:rPr>
              <w:t>owód uiszczenia opłaty skarbowej (w przypadku, gdy wnioskodawca działa przez pełnomocnika)</w:t>
            </w:r>
          </w:p>
          <w:p w:rsidR="00F45FAB" w:rsidRPr="00511BD7" w:rsidRDefault="00F45FAB" w:rsidP="00511BD7">
            <w:pPr>
              <w:suppressLineNumbers/>
              <w:tabs>
                <w:tab w:val="left" w:pos="0"/>
              </w:tab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BFBFBF"/>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lastRenderedPageBreak/>
              <w:t>Formularz do pobrania:</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o udostępnienie danych jednostkowych z rejestru mieszkańców, rejestru zamieszkania</w:t>
            </w:r>
            <w:r>
              <w:rPr>
                <w:rFonts w:eastAsia="Times New Roman" w:cs="Times New Roman"/>
                <w:sz w:val="24"/>
                <w:szCs w:val="24"/>
              </w:rPr>
              <w:t xml:space="preserve"> </w:t>
            </w:r>
            <w:r w:rsidRPr="00511BD7">
              <w:rPr>
                <w:rFonts w:eastAsia="Times New Roman" w:cs="Times New Roman"/>
                <w:sz w:val="24"/>
                <w:szCs w:val="24"/>
              </w:rPr>
              <w:t>cudzoziemców, rejestru PESEL można pobrać w</w:t>
            </w:r>
            <w:r w:rsidR="00E705D7">
              <w:rPr>
                <w:rFonts w:eastAsia="Times New Roman" w:cs="Times New Roman"/>
                <w:sz w:val="24"/>
                <w:szCs w:val="24"/>
              </w:rPr>
              <w:t xml:space="preserve"> Urzędzie Gminy </w:t>
            </w:r>
            <w:r w:rsidRPr="00511BD7">
              <w:rPr>
                <w:rFonts w:eastAsia="Times New Roman" w:cs="Times New Roman"/>
                <w:sz w:val="24"/>
                <w:szCs w:val="24"/>
              </w:rPr>
              <w:t>– pokój nr 10, bądź skorzystać z załączonego poniżej wzoru wniosku .</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Opłaty: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b/>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b/>
                <w:sz w:val="24"/>
                <w:szCs w:val="24"/>
              </w:rPr>
              <w:t xml:space="preserve">31,00zł - </w:t>
            </w:r>
            <w:r w:rsidRPr="00511BD7">
              <w:rPr>
                <w:rFonts w:eastAsia="Times New Roman" w:cs="Times New Roman"/>
                <w:sz w:val="24"/>
                <w:szCs w:val="24"/>
              </w:rPr>
              <w:t>opłata za udostępnienie danych jednostkowych</w:t>
            </w:r>
          </w:p>
          <w:p w:rsidR="00F45FAB" w:rsidRPr="00511BD7" w:rsidRDefault="00F45FAB" w:rsidP="00511BD7">
            <w:pPr>
              <w:spacing w:after="0" w:line="240" w:lineRule="auto"/>
              <w:ind w:left="113" w:right="113"/>
              <w:jc w:val="both"/>
              <w:rPr>
                <w:rFonts w:eastAsia="Times New Roman" w:cs="Times New Roman"/>
                <w:sz w:val="24"/>
                <w:szCs w:val="24"/>
              </w:rPr>
            </w:pPr>
          </w:p>
          <w:p w:rsidR="00F45FAB"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b/>
                <w:sz w:val="24"/>
                <w:szCs w:val="24"/>
              </w:rPr>
              <w:t>*</w:t>
            </w:r>
            <w:r w:rsidR="00E705D7">
              <w:rPr>
                <w:rFonts w:eastAsia="Times New Roman" w:cs="Times New Roman"/>
                <w:sz w:val="24"/>
                <w:szCs w:val="24"/>
              </w:rPr>
              <w:t xml:space="preserve"> opłaty</w:t>
            </w:r>
            <w:r w:rsidRPr="00511BD7">
              <w:rPr>
                <w:rFonts w:eastAsia="Times New Roman" w:cs="Times New Roman"/>
                <w:sz w:val="24"/>
                <w:szCs w:val="24"/>
              </w:rPr>
              <w:t xml:space="preserve"> dokonuje się na konto bankowe Urzędu Gminy: 61 9226 005 0050 0294 2000 0010 (w rubryce tytułem wpisać „za udostępnienie danych osobowych”)</w:t>
            </w:r>
          </w:p>
          <w:p w:rsidR="00511BD7" w:rsidRPr="00511BD7" w:rsidRDefault="00511BD7"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Dane ze zbiorów meldunkowych udostępnia się nieodpłatnie następującym podmiotom (jeżeli są niezbędne do realizacji ich ustawowych zadań):</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organom administracji publicznej, sądom i prokuraturze,</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Policji, Straży Granicznej, Służbie Więziennej, Służbie Kontrwywiadu Wojskowego, Służbie Wywiadu Wojskowego, Służbie Celnej, Żandarmerii Wojskowej, Agencji Bezpieczeństwa Wewnętrznego, Agencji Wywiadu, Biuru Ochrony Rządu, Centralnemu Biuru Antykorupcyjnemu, Szefowi Krajowego Centrum Informacji Kryminalnych, organom wyborczym i strażom gminnym (miejskim),</w:t>
            </w:r>
          </w:p>
          <w:p w:rsidR="00F45FAB" w:rsidRPr="00511BD7" w:rsidRDefault="00E705D7" w:rsidP="00511BD7">
            <w:pPr>
              <w:spacing w:after="0" w:line="240" w:lineRule="auto"/>
              <w:ind w:left="113" w:right="113"/>
              <w:jc w:val="both"/>
              <w:rPr>
                <w:rFonts w:eastAsia="Times New Roman" w:cs="Times New Roman"/>
                <w:sz w:val="24"/>
                <w:szCs w:val="24"/>
              </w:rPr>
            </w:pPr>
            <w:r>
              <w:rPr>
                <w:rFonts w:eastAsia="Times New Roman" w:cs="Times New Roman"/>
                <w:sz w:val="24"/>
                <w:szCs w:val="24"/>
              </w:rPr>
              <w:t xml:space="preserve">- </w:t>
            </w:r>
            <w:r w:rsidR="00511BD7" w:rsidRPr="00511BD7">
              <w:rPr>
                <w:rFonts w:eastAsia="Times New Roman" w:cs="Times New Roman"/>
                <w:sz w:val="24"/>
                <w:szCs w:val="24"/>
              </w:rPr>
              <w:t>komornikom sądowym – w zakresie niezbędnym do prowadzenia postępowania egzekucyjnego,</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organom kontroli skarbowej i wywiadowi skarbowemu,</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państwowym i samorządowym jednostkom organizacyjnym oraz innym podmiotom – w zakresie niezbędnym do realizacji zadań publicznych określonych w odrębnych przepisach,</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Polskiemu Czerwonemu Krzyżowi, w zakresie danych osób poszukiwanych. Osoby i jednostki organizacyjne, które wykażą interes prawny w uzyskaniu danych osoby zmarłej</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niezbędnych do sporządzenia aktu poświadczenia dziedziczenia są zwolnione z opłaty za udostępnianie danych jednostkowych.</w:t>
            </w:r>
          </w:p>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 </w:t>
            </w:r>
            <w:r w:rsidRPr="00511BD7">
              <w:rPr>
                <w:rFonts w:eastAsia="Times New Roman" w:cs="Times New Roman"/>
                <w:b/>
                <w:sz w:val="24"/>
                <w:szCs w:val="24"/>
              </w:rPr>
              <w:t xml:space="preserve">17,00zł - </w:t>
            </w:r>
            <w:r w:rsidRPr="00511BD7">
              <w:rPr>
                <w:rFonts w:eastAsia="Times New Roman" w:cs="Times New Roman"/>
                <w:sz w:val="24"/>
                <w:szCs w:val="24"/>
              </w:rPr>
              <w:t>opłata skarbowa za złożenie pełnomocnictwa (w przypadku, gdy wnioskodawca działa przez pełnomocnika)</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t>Czas załatwienia sprawy: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uppressLineNumbers/>
              <w:suppressAutoHyphens/>
              <w:spacing w:after="0" w:line="240" w:lineRule="auto"/>
              <w:ind w:left="113" w:right="113"/>
              <w:jc w:val="both"/>
              <w:rPr>
                <w:rFonts w:eastAsia="Times New Roman" w:cs="Times New Roman"/>
                <w:sz w:val="24"/>
                <w:szCs w:val="24"/>
              </w:rPr>
            </w:pP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Bez zbędnej zwłoki do 30 dni od dnia złożenia wniosku. </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Zgodnie z art. 35 § 3 Kodeksu postępowania administracyjnego załatwienie sprawy wymagającej postępowania wyjaśniającego szczególnie skomplikowanej sprawy powinno nastąpić nie później niż w ciągu dwóch miesięcy od dnia wszczęcia postępowania.</w:t>
            </w:r>
          </w:p>
          <w:p w:rsidR="00F45FAB" w:rsidRPr="00511BD7" w:rsidRDefault="00511BD7" w:rsidP="00511BD7">
            <w:pPr>
              <w:suppressLineNumbers/>
              <w:suppressAutoHyphens/>
              <w:spacing w:after="0" w:line="240" w:lineRule="auto"/>
              <w:ind w:left="113" w:right="113"/>
              <w:jc w:val="both"/>
              <w:rPr>
                <w:rFonts w:eastAsia="Times New Roman" w:cs="Times New Roman"/>
                <w:sz w:val="24"/>
                <w:szCs w:val="24"/>
              </w:rPr>
            </w:pPr>
            <w:r w:rsidRPr="00511BD7">
              <w:rPr>
                <w:rFonts w:eastAsia="Times New Roman" w:cs="Times New Roman"/>
                <w:sz w:val="24"/>
                <w:szCs w:val="24"/>
              </w:rPr>
              <w:t xml:space="preserve">W toku postępowania może być wyznaczony przez organ inny termin zakończenia postępowania z przyczyn niezależnych od organu lub w zależności od toku wyjaśnienia </w:t>
            </w:r>
            <w:r w:rsidRPr="00511BD7">
              <w:rPr>
                <w:rFonts w:eastAsia="Times New Roman" w:cs="Times New Roman"/>
                <w:sz w:val="24"/>
                <w:szCs w:val="24"/>
              </w:rPr>
              <w:lastRenderedPageBreak/>
              <w:t>sprawy (art. 36 Kpa)</w:t>
            </w:r>
          </w:p>
          <w:p w:rsidR="00F45FAB" w:rsidRPr="00511BD7" w:rsidRDefault="00F45FAB" w:rsidP="00511BD7">
            <w:pPr>
              <w:suppressLineNumbers/>
              <w:suppressAutoHyphens/>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shd w:val="clear" w:color="auto" w:fill="C0C0C0"/>
              </w:rPr>
              <w:lastRenderedPageBreak/>
              <w:t>Tryb odwoławczy:</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shd w:val="clear" w:color="auto" w:fill="FFFFFF"/>
              </w:rPr>
            </w:pPr>
          </w:p>
          <w:p w:rsidR="00F45FAB" w:rsidRPr="00511BD7" w:rsidRDefault="00511BD7" w:rsidP="00511BD7">
            <w:pPr>
              <w:spacing w:after="0" w:line="240" w:lineRule="auto"/>
              <w:ind w:left="113" w:right="113"/>
              <w:jc w:val="both"/>
              <w:rPr>
                <w:rFonts w:eastAsia="Times New Roman" w:cs="Times New Roman"/>
                <w:sz w:val="24"/>
                <w:szCs w:val="24"/>
                <w:shd w:val="clear" w:color="auto" w:fill="FFFFFF"/>
              </w:rPr>
            </w:pPr>
            <w:r w:rsidRPr="00511BD7">
              <w:rPr>
                <w:rFonts w:eastAsia="Times New Roman" w:cs="Times New Roman"/>
                <w:sz w:val="24"/>
                <w:szCs w:val="24"/>
                <w:shd w:val="clear" w:color="auto" w:fill="FFFFFF"/>
              </w:rPr>
              <w:t>Odmowa udzielenia informacji o danych osobowych następuje w drodze decyzji administracyjnej.</w:t>
            </w:r>
          </w:p>
          <w:p w:rsidR="00F45FAB" w:rsidRPr="00511BD7" w:rsidRDefault="00511BD7" w:rsidP="00511BD7">
            <w:pPr>
              <w:spacing w:after="0" w:line="240" w:lineRule="auto"/>
              <w:ind w:left="113" w:right="113"/>
              <w:jc w:val="both"/>
              <w:rPr>
                <w:rFonts w:eastAsia="Times New Roman" w:cs="Times New Roman"/>
                <w:sz w:val="24"/>
                <w:szCs w:val="24"/>
                <w:shd w:val="clear" w:color="auto" w:fill="FFFFFF"/>
              </w:rPr>
            </w:pPr>
            <w:r w:rsidRPr="00511BD7">
              <w:rPr>
                <w:rFonts w:eastAsia="Times New Roman" w:cs="Times New Roman"/>
                <w:sz w:val="24"/>
                <w:szCs w:val="24"/>
                <w:shd w:val="clear" w:color="auto" w:fill="FFFFFF"/>
              </w:rPr>
              <w:t>Od decyzji przysługuje odwołanie do Wojewody Mazowieckiego w ciągu 14 dni od otrzymania decyzji za pośrednictwem Wójta Gminy Jakubów.</w:t>
            </w:r>
          </w:p>
          <w:p w:rsidR="00F45FAB" w:rsidRPr="00511BD7" w:rsidRDefault="00F45FAB" w:rsidP="00511BD7">
            <w:pPr>
              <w:spacing w:after="0" w:line="240" w:lineRule="auto"/>
              <w:ind w:left="113" w:right="113"/>
              <w:jc w:val="both"/>
              <w:rPr>
                <w:sz w:val="24"/>
                <w:szCs w:val="24"/>
              </w:rPr>
            </w:pP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auto" w:fill="C0C0C0"/>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Podstawa prawna</w:t>
            </w:r>
          </w:p>
        </w:tc>
      </w:tr>
      <w:tr w:rsidR="00F45FAB" w:rsidRPr="00511BD7">
        <w:trPr>
          <w:trHeight w:val="1"/>
        </w:trPr>
        <w:tc>
          <w:tcPr>
            <w:tcW w:w="9076" w:type="dxa"/>
            <w:gridSpan w:val="3"/>
            <w:tcBorders>
              <w:top w:val="single" w:sz="0"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color w:val="222222"/>
                <w:sz w:val="24"/>
                <w:szCs w:val="24"/>
              </w:rPr>
            </w:pPr>
          </w:p>
          <w:p w:rsidR="00F45FAB" w:rsidRPr="00511BD7" w:rsidRDefault="00C63240"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1. </w:t>
            </w:r>
            <w:r w:rsidR="0030496C">
              <w:rPr>
                <w:rFonts w:eastAsia="Times New Roman" w:cs="Times New Roman"/>
                <w:color w:val="222222"/>
                <w:sz w:val="24"/>
                <w:szCs w:val="24"/>
              </w:rPr>
              <w:t>Ustawa z dnia 24 września 2010 roku</w:t>
            </w:r>
            <w:r w:rsidR="00511BD7" w:rsidRPr="00511BD7">
              <w:rPr>
                <w:rFonts w:eastAsia="Times New Roman" w:cs="Times New Roman"/>
                <w:color w:val="222222"/>
                <w:sz w:val="24"/>
                <w:szCs w:val="24"/>
              </w:rPr>
              <w:t xml:space="preserve"> o ewidencji ludnośc</w:t>
            </w:r>
            <w:r w:rsidR="0030496C">
              <w:rPr>
                <w:rFonts w:eastAsia="Times New Roman" w:cs="Times New Roman"/>
                <w:color w:val="222222"/>
                <w:sz w:val="24"/>
                <w:szCs w:val="24"/>
              </w:rPr>
              <w:t>i (Dz. U. z 2017 r., poz. 657)</w:t>
            </w:r>
          </w:p>
          <w:p w:rsidR="00F45FAB" w:rsidRDefault="0000253C"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2. </w:t>
            </w:r>
            <w:r w:rsidR="0030496C">
              <w:rPr>
                <w:rFonts w:eastAsia="Times New Roman" w:cs="Times New Roman"/>
                <w:color w:val="222222"/>
                <w:sz w:val="24"/>
                <w:szCs w:val="24"/>
              </w:rPr>
              <w:t xml:space="preserve">Ustawa z dnia </w:t>
            </w:r>
            <w:r w:rsidR="00511BD7" w:rsidRPr="00511BD7">
              <w:rPr>
                <w:rFonts w:eastAsia="Times New Roman" w:cs="Times New Roman"/>
                <w:color w:val="222222"/>
                <w:sz w:val="24"/>
                <w:szCs w:val="24"/>
              </w:rPr>
              <w:t xml:space="preserve">14 </w:t>
            </w:r>
            <w:r w:rsidR="0030496C">
              <w:rPr>
                <w:rFonts w:eastAsia="Times New Roman" w:cs="Times New Roman"/>
                <w:color w:val="222222"/>
                <w:sz w:val="24"/>
                <w:szCs w:val="24"/>
              </w:rPr>
              <w:t>czerwca 1960 roku</w:t>
            </w:r>
            <w:r w:rsidR="00511BD7" w:rsidRPr="00511BD7">
              <w:rPr>
                <w:rFonts w:eastAsia="Times New Roman" w:cs="Times New Roman"/>
                <w:color w:val="222222"/>
                <w:sz w:val="24"/>
                <w:szCs w:val="24"/>
              </w:rPr>
              <w:t xml:space="preserve"> Kodeks Postępowania </w:t>
            </w:r>
            <w:r w:rsidR="0030496C">
              <w:rPr>
                <w:rFonts w:eastAsia="Times New Roman" w:cs="Times New Roman"/>
                <w:color w:val="222222"/>
                <w:sz w:val="24"/>
                <w:szCs w:val="24"/>
              </w:rPr>
              <w:t xml:space="preserve">Administracyjnego </w:t>
            </w:r>
            <w:r>
              <w:rPr>
                <w:rFonts w:eastAsia="Times New Roman" w:cs="Times New Roman"/>
                <w:color w:val="222222"/>
                <w:sz w:val="24"/>
                <w:szCs w:val="24"/>
              </w:rPr>
              <w:t xml:space="preserve">                </w:t>
            </w:r>
          </w:p>
          <w:p w:rsidR="0000253C" w:rsidRPr="00511BD7" w:rsidRDefault="0000253C" w:rsidP="00511BD7">
            <w:pPr>
              <w:spacing w:after="0" w:line="240" w:lineRule="auto"/>
              <w:ind w:left="113" w:right="113"/>
              <w:jc w:val="both"/>
              <w:rPr>
                <w:rFonts w:eastAsia="Times New Roman" w:cs="Times New Roman"/>
                <w:color w:val="222222"/>
                <w:sz w:val="24"/>
                <w:szCs w:val="24"/>
              </w:rPr>
            </w:pPr>
            <w:r>
              <w:rPr>
                <w:rFonts w:eastAsia="Times New Roman" w:cs="Times New Roman"/>
                <w:color w:val="222222"/>
                <w:sz w:val="24"/>
                <w:szCs w:val="24"/>
              </w:rPr>
              <w:t xml:space="preserve">   (Dz. U. z 2017 r., poz. 1257</w:t>
            </w:r>
            <w:r w:rsidRPr="00511BD7">
              <w:rPr>
                <w:rFonts w:eastAsia="Times New Roman" w:cs="Times New Roman"/>
                <w:color w:val="222222"/>
                <w:sz w:val="24"/>
                <w:szCs w:val="24"/>
              </w:rPr>
              <w:t>)</w:t>
            </w:r>
          </w:p>
          <w:p w:rsidR="00F45FAB" w:rsidRDefault="00C63240" w:rsidP="0030496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3. </w:t>
            </w:r>
            <w:r w:rsidR="0030496C">
              <w:rPr>
                <w:rFonts w:eastAsia="Times New Roman" w:cs="Times New Roman"/>
                <w:color w:val="000000"/>
                <w:sz w:val="24"/>
                <w:szCs w:val="24"/>
              </w:rPr>
              <w:t>Ustawa z dn. 16 listopada 2006 roku</w:t>
            </w:r>
            <w:r w:rsidR="00511BD7" w:rsidRPr="00511BD7">
              <w:rPr>
                <w:rFonts w:eastAsia="Times New Roman" w:cs="Times New Roman"/>
                <w:color w:val="000000"/>
                <w:sz w:val="24"/>
                <w:szCs w:val="24"/>
              </w:rPr>
              <w:t xml:space="preserve"> o </w:t>
            </w:r>
            <w:r w:rsidR="0030496C">
              <w:rPr>
                <w:rFonts w:eastAsia="Times New Roman" w:cs="Times New Roman"/>
                <w:color w:val="000000"/>
                <w:sz w:val="24"/>
                <w:szCs w:val="24"/>
              </w:rPr>
              <w:t>opłacie skarbowej (Dz. U. z 2016r. poz. 1827</w:t>
            </w:r>
            <w:r w:rsidR="00511BD7" w:rsidRPr="00511BD7">
              <w:rPr>
                <w:rFonts w:eastAsia="Times New Roman" w:cs="Times New Roman"/>
                <w:color w:val="000000"/>
                <w:sz w:val="24"/>
                <w:szCs w:val="24"/>
              </w:rPr>
              <w:t xml:space="preserve"> </w:t>
            </w:r>
            <w:r w:rsidR="0000253C">
              <w:rPr>
                <w:rFonts w:eastAsia="Times New Roman" w:cs="Times New Roman"/>
                <w:color w:val="000000"/>
                <w:sz w:val="24"/>
                <w:szCs w:val="24"/>
              </w:rPr>
              <w:t xml:space="preserve">        </w:t>
            </w:r>
          </w:p>
          <w:p w:rsidR="0000253C" w:rsidRPr="00511BD7" w:rsidRDefault="0000253C" w:rsidP="0030496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ze zm.)</w:t>
            </w:r>
          </w:p>
          <w:p w:rsidR="0000253C" w:rsidRDefault="0030496C" w:rsidP="0000253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4</w:t>
            </w:r>
            <w:r w:rsidR="0000253C">
              <w:rPr>
                <w:rFonts w:eastAsia="Times New Roman" w:cs="Times New Roman"/>
                <w:color w:val="000000"/>
                <w:sz w:val="24"/>
                <w:szCs w:val="24"/>
              </w:rPr>
              <w:t xml:space="preserve">. </w:t>
            </w:r>
            <w:r w:rsidR="00C63240">
              <w:rPr>
                <w:rFonts w:eastAsia="Times New Roman" w:cs="Times New Roman"/>
                <w:color w:val="000000"/>
                <w:sz w:val="24"/>
                <w:szCs w:val="24"/>
              </w:rPr>
              <w:t>R</w:t>
            </w:r>
            <w:r w:rsidR="00511BD7" w:rsidRPr="00511BD7">
              <w:rPr>
                <w:rFonts w:eastAsia="Times New Roman" w:cs="Times New Roman"/>
                <w:color w:val="000000"/>
                <w:sz w:val="24"/>
                <w:szCs w:val="24"/>
              </w:rPr>
              <w:t>ozp</w:t>
            </w:r>
            <w:r>
              <w:rPr>
                <w:rFonts w:eastAsia="Times New Roman" w:cs="Times New Roman"/>
                <w:color w:val="000000"/>
                <w:sz w:val="24"/>
                <w:szCs w:val="24"/>
              </w:rPr>
              <w:t>orządzenie Rady Ministrów z dnia 12 września 2011 roku w sprawie</w:t>
            </w:r>
            <w:r w:rsidR="00511BD7" w:rsidRPr="00511BD7">
              <w:rPr>
                <w:rFonts w:eastAsia="Times New Roman" w:cs="Times New Roman"/>
                <w:color w:val="000000"/>
                <w:sz w:val="24"/>
                <w:szCs w:val="24"/>
              </w:rPr>
              <w:t xml:space="preserve"> opłat za </w:t>
            </w:r>
          </w:p>
          <w:p w:rsidR="0000253C" w:rsidRDefault="0000253C" w:rsidP="0000253C">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 xml:space="preserve">udostępnienie danych z rejestru mieszkańców, rejestru zamieszkania cudzoziemców </w:t>
            </w:r>
          </w:p>
          <w:p w:rsidR="0000253C" w:rsidRDefault="0000253C"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oraz rejestru PESEL</w:t>
            </w:r>
            <w:r>
              <w:rPr>
                <w:rFonts w:eastAsia="Times New Roman" w:cs="Times New Roman"/>
                <w:color w:val="000000"/>
                <w:sz w:val="24"/>
                <w:szCs w:val="24"/>
              </w:rPr>
              <w:t xml:space="preserve"> (Dz. U. z 2015r., poz. 1388</w:t>
            </w:r>
            <w:r w:rsidRPr="00511BD7">
              <w:rPr>
                <w:rFonts w:eastAsia="Times New Roman" w:cs="Times New Roman"/>
                <w:color w:val="000000"/>
                <w:sz w:val="24"/>
                <w:szCs w:val="24"/>
              </w:rPr>
              <w:t>)</w:t>
            </w:r>
          </w:p>
          <w:p w:rsidR="00F45FAB" w:rsidRDefault="0030496C"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5</w:t>
            </w:r>
            <w:r w:rsidR="00C63240">
              <w:rPr>
                <w:rFonts w:eastAsia="Times New Roman" w:cs="Times New Roman"/>
                <w:color w:val="000000"/>
                <w:sz w:val="24"/>
                <w:szCs w:val="24"/>
              </w:rPr>
              <w:t xml:space="preserve">. </w:t>
            </w:r>
            <w:r w:rsidR="00511BD7" w:rsidRPr="00511BD7">
              <w:rPr>
                <w:rFonts w:eastAsia="Times New Roman" w:cs="Times New Roman"/>
                <w:color w:val="000000"/>
                <w:sz w:val="24"/>
                <w:szCs w:val="24"/>
              </w:rPr>
              <w:t>Rozporządzenie M</w:t>
            </w:r>
            <w:r>
              <w:rPr>
                <w:rFonts w:eastAsia="Times New Roman" w:cs="Times New Roman"/>
                <w:color w:val="000000"/>
                <w:sz w:val="24"/>
                <w:szCs w:val="24"/>
              </w:rPr>
              <w:t xml:space="preserve">inistra </w:t>
            </w:r>
            <w:r w:rsidR="00511BD7" w:rsidRPr="00511BD7">
              <w:rPr>
                <w:rFonts w:eastAsia="Times New Roman" w:cs="Times New Roman"/>
                <w:color w:val="000000"/>
                <w:sz w:val="24"/>
                <w:szCs w:val="24"/>
              </w:rPr>
              <w:t>S</w:t>
            </w:r>
            <w:r>
              <w:rPr>
                <w:rFonts w:eastAsia="Times New Roman" w:cs="Times New Roman"/>
                <w:color w:val="000000"/>
                <w:sz w:val="24"/>
                <w:szCs w:val="24"/>
              </w:rPr>
              <w:t xml:space="preserve">praw </w:t>
            </w:r>
            <w:r w:rsidR="00511BD7" w:rsidRPr="00511BD7">
              <w:rPr>
                <w:rFonts w:eastAsia="Times New Roman" w:cs="Times New Roman"/>
                <w:color w:val="000000"/>
                <w:sz w:val="24"/>
                <w:szCs w:val="24"/>
              </w:rPr>
              <w:t>W</w:t>
            </w:r>
            <w:r>
              <w:rPr>
                <w:rFonts w:eastAsia="Times New Roman" w:cs="Times New Roman"/>
                <w:color w:val="000000"/>
                <w:sz w:val="24"/>
                <w:szCs w:val="24"/>
              </w:rPr>
              <w:t xml:space="preserve">ewnętrznych </w:t>
            </w:r>
            <w:r w:rsidR="00511BD7" w:rsidRPr="00511BD7">
              <w:rPr>
                <w:rFonts w:eastAsia="Times New Roman" w:cs="Times New Roman"/>
                <w:color w:val="000000"/>
                <w:sz w:val="24"/>
                <w:szCs w:val="24"/>
              </w:rPr>
              <w:t>i</w:t>
            </w:r>
            <w:r>
              <w:rPr>
                <w:rFonts w:eastAsia="Times New Roman" w:cs="Times New Roman"/>
                <w:color w:val="000000"/>
                <w:sz w:val="24"/>
                <w:szCs w:val="24"/>
              </w:rPr>
              <w:t xml:space="preserve"> </w:t>
            </w:r>
            <w:r w:rsidR="00511BD7" w:rsidRPr="00511BD7">
              <w:rPr>
                <w:rFonts w:eastAsia="Times New Roman" w:cs="Times New Roman"/>
                <w:color w:val="000000"/>
                <w:sz w:val="24"/>
                <w:szCs w:val="24"/>
              </w:rPr>
              <w:t>A</w:t>
            </w:r>
            <w:r>
              <w:rPr>
                <w:rFonts w:eastAsia="Times New Roman" w:cs="Times New Roman"/>
                <w:color w:val="000000"/>
                <w:sz w:val="24"/>
                <w:szCs w:val="24"/>
              </w:rPr>
              <w:t>dministracji</w:t>
            </w:r>
            <w:r w:rsidR="00511BD7" w:rsidRPr="00511BD7">
              <w:rPr>
                <w:rFonts w:eastAsia="Times New Roman" w:cs="Times New Roman"/>
                <w:color w:val="000000"/>
                <w:sz w:val="24"/>
                <w:szCs w:val="24"/>
              </w:rPr>
              <w:t xml:space="preserve"> z</w:t>
            </w:r>
            <w:r>
              <w:rPr>
                <w:rFonts w:eastAsia="Times New Roman" w:cs="Times New Roman"/>
                <w:color w:val="000000"/>
                <w:sz w:val="24"/>
                <w:szCs w:val="24"/>
              </w:rPr>
              <w:t xml:space="preserve"> dnia 5 października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2011 roku</w:t>
            </w:r>
            <w:r w:rsidRPr="00511BD7">
              <w:rPr>
                <w:rFonts w:eastAsia="Times New Roman" w:cs="Times New Roman"/>
                <w:color w:val="000000"/>
                <w:sz w:val="24"/>
                <w:szCs w:val="24"/>
              </w:rPr>
              <w:t xml:space="preserve"> w sprawie określenia wzorów wniosków</w:t>
            </w:r>
            <w:r>
              <w:rPr>
                <w:rFonts w:eastAsia="Times New Roman" w:cs="Times New Roman"/>
                <w:color w:val="000000"/>
                <w:sz w:val="24"/>
                <w:szCs w:val="24"/>
              </w:rPr>
              <w:t xml:space="preserve"> </w:t>
            </w:r>
            <w:r w:rsidRPr="00511BD7">
              <w:rPr>
                <w:rFonts w:eastAsia="Times New Roman" w:cs="Times New Roman"/>
                <w:color w:val="000000"/>
                <w:sz w:val="24"/>
                <w:szCs w:val="24"/>
              </w:rPr>
              <w:t xml:space="preserve">o udostępnienie danych z rejestru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w:t>
            </w:r>
            <w:r w:rsidRPr="00511BD7">
              <w:rPr>
                <w:rFonts w:eastAsia="Times New Roman" w:cs="Times New Roman"/>
                <w:color w:val="000000"/>
                <w:sz w:val="24"/>
                <w:szCs w:val="24"/>
              </w:rPr>
              <w:t>mieszkańców, rejestru zamieszkania cudzoziemców i rejestru PE</w:t>
            </w:r>
            <w:r>
              <w:rPr>
                <w:rFonts w:eastAsia="Times New Roman" w:cs="Times New Roman"/>
                <w:color w:val="000000"/>
                <w:sz w:val="24"/>
                <w:szCs w:val="24"/>
              </w:rPr>
              <w:t xml:space="preserve">SEL oraz trybu uzyskania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zgody n</w:t>
            </w:r>
            <w:r w:rsidRPr="00511BD7">
              <w:rPr>
                <w:rFonts w:eastAsia="Times New Roman" w:cs="Times New Roman"/>
                <w:color w:val="000000"/>
                <w:sz w:val="24"/>
                <w:szCs w:val="24"/>
              </w:rPr>
              <w:t xml:space="preserve">a udostępnienie danych po wykazaniu interesu faktycznego (Dz. U. </w:t>
            </w:r>
            <w:r>
              <w:rPr>
                <w:rFonts w:eastAsia="Times New Roman" w:cs="Times New Roman"/>
                <w:color w:val="000000"/>
                <w:sz w:val="24"/>
                <w:szCs w:val="24"/>
              </w:rPr>
              <w:t xml:space="preserve">z 2016 r., </w:t>
            </w:r>
          </w:p>
          <w:p w:rsidR="00777D15" w:rsidRDefault="00777D15" w:rsidP="00777D15">
            <w:pPr>
              <w:spacing w:after="0" w:line="240" w:lineRule="auto"/>
              <w:ind w:left="113" w:right="113"/>
              <w:jc w:val="both"/>
              <w:rPr>
                <w:rFonts w:eastAsia="Times New Roman" w:cs="Times New Roman"/>
                <w:color w:val="000000"/>
                <w:sz w:val="24"/>
                <w:szCs w:val="24"/>
              </w:rPr>
            </w:pPr>
            <w:r>
              <w:rPr>
                <w:rFonts w:eastAsia="Times New Roman" w:cs="Times New Roman"/>
                <w:color w:val="000000"/>
                <w:sz w:val="24"/>
                <w:szCs w:val="24"/>
              </w:rPr>
              <w:t xml:space="preserve">    poz. 836</w:t>
            </w:r>
            <w:r w:rsidRPr="00511BD7">
              <w:rPr>
                <w:rFonts w:eastAsia="Times New Roman" w:cs="Times New Roman"/>
                <w:color w:val="000000"/>
                <w:sz w:val="24"/>
                <w:szCs w:val="24"/>
              </w:rPr>
              <w:t>)</w:t>
            </w:r>
          </w:p>
          <w:p w:rsidR="00777D15" w:rsidRPr="00C63240" w:rsidRDefault="00777D15" w:rsidP="00777D15">
            <w:pPr>
              <w:spacing w:after="0" w:line="240" w:lineRule="auto"/>
              <w:ind w:left="113" w:right="113"/>
              <w:jc w:val="both"/>
              <w:rPr>
                <w:rFonts w:eastAsia="Times New Roman" w:cs="Times New Roman"/>
                <w:color w:val="000000"/>
                <w:sz w:val="24"/>
                <w:szCs w:val="24"/>
              </w:rPr>
            </w:pP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auto" w:fill="CCCCCC"/>
            <w:tcMar>
              <w:left w:w="0" w:type="dxa"/>
              <w:right w:w="0" w:type="dxa"/>
            </w:tcMar>
          </w:tcPr>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Informacje dodatkowe</w:t>
            </w:r>
          </w:p>
        </w:tc>
      </w:tr>
      <w:tr w:rsidR="00F45FAB" w:rsidRPr="00511BD7">
        <w:trPr>
          <w:trHeight w:val="1"/>
        </w:trPr>
        <w:tc>
          <w:tcPr>
            <w:tcW w:w="907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F45FAB" w:rsidRPr="00511BD7" w:rsidRDefault="00F45FAB" w:rsidP="00511BD7">
            <w:pPr>
              <w:spacing w:after="0" w:line="240" w:lineRule="auto"/>
              <w:ind w:left="113" w:right="113"/>
              <w:jc w:val="both"/>
              <w:rPr>
                <w:rFonts w:eastAsia="Times New Roman" w:cs="Times New Roman"/>
                <w:sz w:val="24"/>
                <w:szCs w:val="24"/>
              </w:rPr>
            </w:pP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Wnosząc o udostępnienie danych należy wskazać informacje o osobie umożliwiające wyszukanie w zbiorze żądanych informacji oraz wskazać zakres żądanych informacji.</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Przez dane jednostkowe rozumie się informacje dotyczące jednej osoby lub imion i nazwisk wszystkich osób zameldowanych pod jednym adresem.</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Potrzeba uzyskania danych może wynikać z interesu prawnego lub faktycznego.</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 przypadku powoływania się na interes prawny, wnioskodawca jest zobowiązany wskazać przepis prawa materialnego, na podstawie którego jest uprawniony do żądania danych osobowych innej osoby lub załączyć dokumenty potwierdzające ten interes.</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 przypadku wskazania we wniosku interesu faktycznego, organ właściwy do udostępnienia danych występuje o uzyskanie zgody osoby, o której udostępnienie danych wystąpił wnioskodawca.</w:t>
            </w:r>
          </w:p>
          <w:p w:rsidR="00F45FAB" w:rsidRPr="00511BD7" w:rsidRDefault="00511BD7" w:rsidP="00511BD7">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o udostępnienie danych jednostkowych składa się osobiście lub przez pełnomocnika</w:t>
            </w:r>
            <w:r>
              <w:rPr>
                <w:rFonts w:eastAsia="Times New Roman" w:cs="Times New Roman"/>
                <w:sz w:val="24"/>
                <w:szCs w:val="24"/>
              </w:rPr>
              <w:t xml:space="preserve"> </w:t>
            </w:r>
            <w:r w:rsidRPr="00511BD7">
              <w:rPr>
                <w:rFonts w:eastAsia="Times New Roman" w:cs="Times New Roman"/>
                <w:sz w:val="24"/>
                <w:szCs w:val="24"/>
              </w:rPr>
              <w:t xml:space="preserve">legitymującego się pełnomocnictwem udzielonym w formie, o której mowa w art. 33 § 2 ustawy z dnia 14 czerwca 1960r. – Kodeks postępowania </w:t>
            </w:r>
            <w:r w:rsidR="00777D15">
              <w:rPr>
                <w:rFonts w:eastAsia="Times New Roman" w:cs="Times New Roman"/>
                <w:sz w:val="24"/>
                <w:szCs w:val="24"/>
              </w:rPr>
              <w:t>administracyjnego (Dz. U. z 2017r. poz. 1257</w:t>
            </w:r>
            <w:r w:rsidRPr="00511BD7">
              <w:rPr>
                <w:rFonts w:eastAsia="Times New Roman" w:cs="Times New Roman"/>
                <w:sz w:val="24"/>
                <w:szCs w:val="24"/>
              </w:rPr>
              <w:t xml:space="preserve"> ze zm.) po okazaniu przez pełnomocnika do wglądu jego dowodu osobistego lub innego dokumentu potwierdzającego tożsamość.</w:t>
            </w:r>
          </w:p>
          <w:p w:rsidR="00F45FAB" w:rsidRPr="00C63240" w:rsidRDefault="00511BD7" w:rsidP="00C63240">
            <w:pPr>
              <w:spacing w:after="0" w:line="240" w:lineRule="auto"/>
              <w:ind w:left="113" w:right="113"/>
              <w:jc w:val="both"/>
              <w:rPr>
                <w:rFonts w:eastAsia="Times New Roman" w:cs="Times New Roman"/>
                <w:sz w:val="24"/>
                <w:szCs w:val="24"/>
              </w:rPr>
            </w:pPr>
            <w:r w:rsidRPr="00511BD7">
              <w:rPr>
                <w:rFonts w:eastAsia="Times New Roman" w:cs="Times New Roman"/>
                <w:sz w:val="24"/>
                <w:szCs w:val="24"/>
              </w:rPr>
              <w:t>Wniosek można złożyć bezpośrednio w urzędzie, przesłać pocztą lub przekazać w formie dokumentu elektronicznego przy wykorzystaniu środków komunikacji elektronicznej, na zasadach określonych w ustawie z dnia 17 lutego 2005r. o informatyzacji działalności podmiotów realizujących zadania publiczne (Dz. U. z 201</w:t>
            </w:r>
            <w:r w:rsidR="00777D15">
              <w:rPr>
                <w:rFonts w:eastAsia="Times New Roman" w:cs="Times New Roman"/>
                <w:sz w:val="24"/>
                <w:szCs w:val="24"/>
              </w:rPr>
              <w:t>3r. poz. 235)</w:t>
            </w:r>
            <w:r w:rsidRPr="00511BD7">
              <w:rPr>
                <w:rFonts w:eastAsia="Times New Roman" w:cs="Times New Roman"/>
                <w:sz w:val="24"/>
                <w:szCs w:val="24"/>
              </w:rPr>
              <w:t>.</w:t>
            </w:r>
          </w:p>
        </w:tc>
      </w:tr>
      <w:tr w:rsidR="00F45FAB" w:rsidRPr="00511BD7">
        <w:trPr>
          <w:trHeight w:val="1"/>
        </w:trPr>
        <w:tc>
          <w:tcPr>
            <w:tcW w:w="3098"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lastRenderedPageBreak/>
              <w:t>Sporządziła:</w:t>
            </w:r>
          </w:p>
          <w:p w:rsidR="00F45FAB" w:rsidRDefault="00C63240" w:rsidP="00511BD7">
            <w:pPr>
              <w:suppressLineNumbers/>
              <w:suppressAutoHyphens/>
              <w:spacing w:after="0" w:line="240" w:lineRule="auto"/>
              <w:ind w:left="113" w:right="113"/>
              <w:jc w:val="both"/>
              <w:rPr>
                <w:rFonts w:eastAsia="Times New Roman" w:cs="Times New Roman"/>
                <w:b/>
                <w:sz w:val="24"/>
                <w:szCs w:val="24"/>
              </w:rPr>
            </w:pPr>
            <w:r>
              <w:rPr>
                <w:rFonts w:eastAsia="Times New Roman" w:cs="Times New Roman"/>
                <w:b/>
                <w:sz w:val="24"/>
                <w:szCs w:val="24"/>
              </w:rPr>
              <w:t>Monika Michalczyk</w:t>
            </w:r>
          </w:p>
          <w:p w:rsidR="00C63240" w:rsidRPr="00511BD7" w:rsidRDefault="00777D15" w:rsidP="00511BD7">
            <w:pPr>
              <w:suppressLineNumbers/>
              <w:suppressAutoHyphens/>
              <w:spacing w:after="0" w:line="240" w:lineRule="auto"/>
              <w:ind w:left="113" w:right="113"/>
              <w:jc w:val="both"/>
              <w:rPr>
                <w:sz w:val="24"/>
                <w:szCs w:val="24"/>
              </w:rPr>
            </w:pPr>
            <w:r>
              <w:rPr>
                <w:rFonts w:eastAsia="Times New Roman" w:cs="Times New Roman"/>
                <w:b/>
                <w:sz w:val="24"/>
                <w:szCs w:val="24"/>
              </w:rPr>
              <w:t>15.02.2018</w:t>
            </w:r>
            <w:r w:rsidR="00C63240">
              <w:rPr>
                <w:rFonts w:eastAsia="Times New Roman" w:cs="Times New Roman"/>
                <w:b/>
                <w:sz w:val="24"/>
                <w:szCs w:val="24"/>
              </w:rPr>
              <w:t>r.</w:t>
            </w:r>
          </w:p>
        </w:tc>
        <w:tc>
          <w:tcPr>
            <w:tcW w:w="2478"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C63240"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 xml:space="preserve">Sprawdził: </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Kierownik Referatu</w:t>
            </w:r>
          </w:p>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Justyna Miłaczewska</w:t>
            </w:r>
          </w:p>
        </w:tc>
        <w:tc>
          <w:tcPr>
            <w:tcW w:w="3500"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rsidR="00C63240"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 xml:space="preserve">Zatwierdził: </w:t>
            </w:r>
          </w:p>
          <w:p w:rsidR="00F45FAB" w:rsidRPr="00511BD7" w:rsidRDefault="00511BD7" w:rsidP="00511BD7">
            <w:pPr>
              <w:suppressLineNumbers/>
              <w:suppressAutoHyphens/>
              <w:spacing w:after="0" w:line="240" w:lineRule="auto"/>
              <w:ind w:left="113" w:right="113"/>
              <w:jc w:val="both"/>
              <w:rPr>
                <w:rFonts w:eastAsia="Times New Roman" w:cs="Times New Roman"/>
                <w:b/>
                <w:sz w:val="24"/>
                <w:szCs w:val="24"/>
              </w:rPr>
            </w:pPr>
            <w:r w:rsidRPr="00511BD7">
              <w:rPr>
                <w:rFonts w:eastAsia="Times New Roman" w:cs="Times New Roman"/>
                <w:b/>
                <w:sz w:val="24"/>
                <w:szCs w:val="24"/>
              </w:rPr>
              <w:t>Wójt</w:t>
            </w:r>
          </w:p>
          <w:p w:rsidR="00F45FAB" w:rsidRPr="00511BD7" w:rsidRDefault="00511BD7" w:rsidP="00511BD7">
            <w:pPr>
              <w:suppressLineNumbers/>
              <w:suppressAutoHyphens/>
              <w:spacing w:after="0" w:line="240" w:lineRule="auto"/>
              <w:ind w:left="113" w:right="113"/>
              <w:jc w:val="both"/>
              <w:rPr>
                <w:sz w:val="24"/>
                <w:szCs w:val="24"/>
              </w:rPr>
            </w:pPr>
            <w:r w:rsidRPr="00511BD7">
              <w:rPr>
                <w:rFonts w:eastAsia="Times New Roman" w:cs="Times New Roman"/>
                <w:b/>
                <w:sz w:val="24"/>
                <w:szCs w:val="24"/>
              </w:rPr>
              <w:t>Hanna Wocial</w:t>
            </w:r>
          </w:p>
        </w:tc>
      </w:tr>
    </w:tbl>
    <w:p w:rsidR="00F45FAB" w:rsidRPr="00511BD7" w:rsidRDefault="00F45FAB" w:rsidP="00C63240">
      <w:pPr>
        <w:suppressAutoHyphens/>
        <w:spacing w:after="0" w:line="240" w:lineRule="auto"/>
        <w:ind w:right="113"/>
        <w:jc w:val="both"/>
        <w:rPr>
          <w:rFonts w:eastAsia="Times New Roman" w:cs="Times New Roman"/>
          <w:sz w:val="24"/>
          <w:szCs w:val="24"/>
        </w:rPr>
      </w:pPr>
    </w:p>
    <w:sectPr w:rsidR="00F45FAB" w:rsidRPr="00511BD7" w:rsidSect="00C121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45FAB"/>
    <w:rsid w:val="0000253C"/>
    <w:rsid w:val="00120AA8"/>
    <w:rsid w:val="0030496C"/>
    <w:rsid w:val="004961B2"/>
    <w:rsid w:val="004B7477"/>
    <w:rsid w:val="004F5633"/>
    <w:rsid w:val="00511BD7"/>
    <w:rsid w:val="00777D15"/>
    <w:rsid w:val="007F136A"/>
    <w:rsid w:val="00C1216B"/>
    <w:rsid w:val="00C63240"/>
    <w:rsid w:val="00E7017B"/>
    <w:rsid w:val="00E705D7"/>
    <w:rsid w:val="00F45F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1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milaczewska@jakubow.pl" TargetMode="External"/><Relationship Id="rId3" Type="http://schemas.openxmlformats.org/officeDocument/2006/relationships/webSettings" Target="webSettings.xml"/><Relationship Id="rId7" Type="http://schemas.openxmlformats.org/officeDocument/2006/relationships/hyperlink" Target="mailto:sekretariat@jakub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kubow.pl/"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michalczyk@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1064</Words>
  <Characters>6387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UG Jakubów</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Michalczyk</dc:creator>
  <cp:lastModifiedBy>m.michalczyk</cp:lastModifiedBy>
  <cp:revision>2</cp:revision>
  <cp:lastPrinted>2016-09-15T07:59:00Z</cp:lastPrinted>
  <dcterms:created xsi:type="dcterms:W3CDTF">2018-02-22T12:16:00Z</dcterms:created>
  <dcterms:modified xsi:type="dcterms:W3CDTF">2018-02-22T12:16:00Z</dcterms:modified>
</cp:coreProperties>
</file>