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0C" w:rsidRDefault="00B1090C" w:rsidP="00120B0A">
      <w:pPr>
        <w:suppressAutoHyphens/>
        <w:spacing w:after="120" w:line="240" w:lineRule="auto"/>
        <w:ind w:left="-142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015"/>
        <w:gridCol w:w="5684"/>
        <w:gridCol w:w="1947"/>
      </w:tblGrid>
      <w:tr w:rsidR="00B1090C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535441370" r:id="rId6"/>
              </w:object>
            </w:r>
          </w:p>
          <w:p w:rsidR="00B1090C" w:rsidRPr="003C63BA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</w:rPr>
            </w:pPr>
            <w:r w:rsidRPr="003C63BA">
              <w:rPr>
                <w:rFonts w:ascii="Book Antiqua" w:eastAsia="Book Antiqua" w:hAnsi="Book Antiqua" w:cs="Book Antiqua"/>
                <w:sz w:val="24"/>
              </w:rPr>
              <w:t>Urz</w:t>
            </w:r>
            <w:r w:rsidRPr="003C63BA">
              <w:rPr>
                <w:rFonts w:ascii="Calibri" w:eastAsia="Calibri" w:hAnsi="Calibri" w:cs="Calibri"/>
                <w:sz w:val="24"/>
              </w:rPr>
              <w:t>ą</w:t>
            </w:r>
            <w:r w:rsidRPr="003C63BA">
              <w:rPr>
                <w:rFonts w:ascii="Book Antiqua" w:eastAsia="Book Antiqua" w:hAnsi="Book Antiqua" w:cs="Book Antiqua"/>
                <w:sz w:val="24"/>
              </w:rPr>
              <w:t>d Gminy Jakub</w:t>
            </w:r>
            <w:r w:rsidRPr="003C63BA">
              <w:rPr>
                <w:rFonts w:ascii="Calibri" w:eastAsia="Calibri" w:hAnsi="Calibri" w:cs="Calibri"/>
                <w:sz w:val="24"/>
              </w:rPr>
              <w:t>ó</w:t>
            </w:r>
            <w:r w:rsidRPr="003C63BA">
              <w:rPr>
                <w:rFonts w:ascii="Book Antiqua" w:eastAsia="Book Antiqua" w:hAnsi="Book Antiqua" w:cs="Book Antiqua"/>
                <w:sz w:val="24"/>
              </w:rPr>
              <w:t>w</w:t>
            </w:r>
          </w:p>
          <w:p w:rsidR="00B1090C" w:rsidRDefault="00B1090C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:rsidR="00B1090C" w:rsidRDefault="00AB0DF4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B1090C" w:rsidRDefault="00705D19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AB0DF4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B1090C" w:rsidRDefault="00AB0DF4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B1090C" w:rsidRPr="00CF393B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3"/>
                <w:szCs w:val="23"/>
              </w:rPr>
            </w:pPr>
          </w:p>
          <w:p w:rsidR="00B1090C" w:rsidRPr="00CF393B" w:rsidRDefault="007D1E52" w:rsidP="009C0AAC">
            <w:pPr>
              <w:suppressLineNumbers/>
              <w:suppressAutoHyphens/>
              <w:spacing w:after="0" w:line="240" w:lineRule="auto"/>
              <w:rPr>
                <w:rFonts w:ascii="Book Antiqua" w:eastAsia="Book Antiqua" w:hAnsi="Book Antiqua" w:cs="Book Antiqua"/>
                <w:b/>
                <w:sz w:val="23"/>
                <w:szCs w:val="23"/>
              </w:rPr>
            </w:pPr>
            <w:r>
              <w:rPr>
                <w:rFonts w:ascii="Book Antiqua" w:eastAsia="Book Antiqua" w:hAnsi="Book Antiqua" w:cs="Book Antiqua"/>
                <w:b/>
                <w:sz w:val="23"/>
                <w:szCs w:val="23"/>
              </w:rPr>
              <w:t xml:space="preserve"> </w:t>
            </w:r>
            <w:r w:rsidR="00AB0DF4" w:rsidRPr="00CF393B">
              <w:rPr>
                <w:rFonts w:ascii="Book Antiqua" w:eastAsia="Book Antiqua" w:hAnsi="Book Antiqua" w:cs="Book Antiqua"/>
                <w:b/>
                <w:sz w:val="23"/>
                <w:szCs w:val="23"/>
              </w:rPr>
              <w:t>ORO.</w:t>
            </w:r>
            <w:r>
              <w:rPr>
                <w:rFonts w:ascii="Book Antiqua" w:eastAsia="Book Antiqua" w:hAnsi="Book Antiqua" w:cs="Book Antiqua"/>
                <w:b/>
                <w:sz w:val="23"/>
                <w:szCs w:val="23"/>
              </w:rPr>
              <w:t>0143.</w:t>
            </w:r>
            <w:r w:rsidR="00AB0DF4" w:rsidRPr="00CF393B">
              <w:rPr>
                <w:rFonts w:ascii="Book Antiqua" w:eastAsia="Book Antiqua" w:hAnsi="Book Antiqua" w:cs="Book Antiqua"/>
                <w:b/>
                <w:sz w:val="23"/>
                <w:szCs w:val="23"/>
              </w:rPr>
              <w:t>11.2013</w:t>
            </w:r>
          </w:p>
        </w:tc>
      </w:tr>
      <w:tr w:rsidR="00B1090C" w:rsidRPr="00C952CF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090C" w:rsidRPr="00C952CF" w:rsidRDefault="00B1090C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b/>
                <w:sz w:val="24"/>
                <w:szCs w:val="24"/>
              </w:rPr>
            </w:pPr>
          </w:p>
          <w:p w:rsidR="00B1090C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Book Antiqua" w:cs="Book Antiqua"/>
                <w:b/>
                <w:sz w:val="24"/>
                <w:szCs w:val="24"/>
              </w:rPr>
            </w:pPr>
            <w:r w:rsidRPr="00C952CF">
              <w:rPr>
                <w:rFonts w:eastAsia="Book Antiqua" w:cs="Book Antiqua"/>
                <w:b/>
                <w:sz w:val="24"/>
                <w:szCs w:val="24"/>
              </w:rPr>
              <w:t>Zameldowanie na pobyt czasowy trwaj</w:t>
            </w:r>
            <w:r w:rsidRPr="00C952CF">
              <w:rPr>
                <w:rFonts w:eastAsia="Calibri" w:cs="Calibri"/>
                <w:b/>
                <w:sz w:val="24"/>
                <w:szCs w:val="24"/>
              </w:rPr>
              <w:t>ą</w:t>
            </w:r>
            <w:r w:rsidRPr="00C952CF">
              <w:rPr>
                <w:rFonts w:eastAsia="Book Antiqua" w:cs="Book Antiqua"/>
                <w:b/>
                <w:sz w:val="24"/>
                <w:szCs w:val="24"/>
              </w:rPr>
              <w:t>cy ponad 3 miesi</w:t>
            </w:r>
            <w:r w:rsidRPr="00C952CF">
              <w:rPr>
                <w:rFonts w:eastAsia="Calibri" w:cs="Calibri"/>
                <w:b/>
                <w:sz w:val="24"/>
                <w:szCs w:val="24"/>
              </w:rPr>
              <w:t>ą</w:t>
            </w:r>
            <w:r w:rsidRPr="00C952CF">
              <w:rPr>
                <w:rFonts w:eastAsia="Book Antiqua" w:cs="Book Antiqua"/>
                <w:b/>
                <w:sz w:val="24"/>
                <w:szCs w:val="24"/>
              </w:rPr>
              <w:t>ce                                                           cudzoziemców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Book Antiqua" w:cs="Book Antiqua"/>
          <w:sz w:val="24"/>
          <w:szCs w:val="24"/>
        </w:rPr>
      </w:pPr>
    </w:p>
    <w:tbl>
      <w:tblPr>
        <w:tblW w:w="9640" w:type="dxa"/>
        <w:tblInd w:w="-141" w:type="dxa"/>
        <w:tblCellMar>
          <w:left w:w="10" w:type="dxa"/>
          <w:right w:w="10" w:type="dxa"/>
        </w:tblCellMar>
        <w:tblLook w:val="0000"/>
      </w:tblPr>
      <w:tblGrid>
        <w:gridCol w:w="3912"/>
        <w:gridCol w:w="2748"/>
        <w:gridCol w:w="2980"/>
      </w:tblGrid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952CF">
              <w:rPr>
                <w:rFonts w:eastAsia="Book Antiqua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952CF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952CF">
              <w:rPr>
                <w:rFonts w:eastAsia="Book Antiqua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Referat Organizacyjno - </w:t>
            </w:r>
            <w:r w:rsidR="00B960FF">
              <w:rPr>
                <w:rFonts w:eastAsia="Times New Roman" w:cs="Times New Roman"/>
                <w:sz w:val="24"/>
                <w:szCs w:val="24"/>
              </w:rPr>
              <w:t>Administracyjny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Pokój nr 10, tel. 25 758 20 51, e-mail: </w:t>
            </w:r>
            <w:hyperlink r:id="rId9">
              <w:r w:rsidRPr="00C952CF">
                <w:rPr>
                  <w:rFonts w:eastAsia="Times New Roman" w:cs="Times New Roman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Godziny urzędowania: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poniedziałek            7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30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– 17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wtorek – piątek       7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30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– 15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B1090C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czwartek                 </w:t>
            </w: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dzień wewnętrzny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960FF" w:rsidRDefault="00B960FF" w:rsidP="00B960F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C952CF" w:rsidRPr="00C952CF" w:rsidRDefault="00C952CF" w:rsidP="00B960F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Zgłoszenia zameldowania dokonuje się we właściwym  organie gminy poprzez wypełnienie i </w:t>
            </w:r>
            <w:r w:rsidR="00C952CF" w:rsidRPr="00C952CF">
              <w:rPr>
                <w:rFonts w:eastAsia="Times New Roman" w:cs="Times New Roman"/>
                <w:sz w:val="24"/>
                <w:szCs w:val="24"/>
              </w:rPr>
              <w:t>złożenie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formularza “Zgłoszenie pobytu czasowego trwającego ponad 3 miesiące”. 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1090C" w:rsidRPr="00B960FF" w:rsidRDefault="00AB0DF4" w:rsidP="00B960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960FF">
              <w:rPr>
                <w:rFonts w:eastAsia="Times New Roman" w:cs="Times New Roman"/>
                <w:sz w:val="24"/>
                <w:szCs w:val="24"/>
              </w:rPr>
              <w:t xml:space="preserve">wypełniony druk </w:t>
            </w:r>
            <w:r w:rsidRPr="00B960FF">
              <w:rPr>
                <w:rFonts w:eastAsia="Times New Roman" w:cs="Times New Roman"/>
                <w:b/>
                <w:sz w:val="24"/>
                <w:szCs w:val="24"/>
              </w:rPr>
              <w:t xml:space="preserve">Zgłoszenie pobytu czasowego </w:t>
            </w:r>
            <w:r w:rsidRPr="00B960FF">
              <w:rPr>
                <w:rFonts w:eastAsia="Times New Roman" w:cs="Times New Roman"/>
                <w:sz w:val="24"/>
                <w:szCs w:val="24"/>
              </w:rPr>
              <w:t>(odrębny dla każdej meldującej się osoby, również</w:t>
            </w:r>
            <w:r w:rsidR="00C952CF" w:rsidRPr="00B960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960FF">
              <w:rPr>
                <w:rFonts w:eastAsia="Times New Roman" w:cs="Times New Roman"/>
                <w:sz w:val="24"/>
                <w:szCs w:val="24"/>
              </w:rPr>
              <w:t>dla dziecka) – zawierający potwierdzenie faktu pobytu osoby dokonane przez właściciela lub inny</w:t>
            </w:r>
            <w:r w:rsidR="00C952CF" w:rsidRPr="00B960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960FF">
              <w:rPr>
                <w:rFonts w:eastAsia="Times New Roman" w:cs="Times New Roman"/>
                <w:sz w:val="24"/>
                <w:szCs w:val="24"/>
              </w:rPr>
              <w:t>podmiot dysponujący tytułem prawnym do lokalu w formie czytelnego podpisu z oznaczeniem daty jego</w:t>
            </w:r>
            <w:r w:rsidR="00C952CF" w:rsidRPr="00B960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960FF">
              <w:rPr>
                <w:rFonts w:eastAsia="Times New Roman" w:cs="Times New Roman"/>
                <w:sz w:val="24"/>
                <w:szCs w:val="24"/>
              </w:rPr>
              <w:t>złożenia</w:t>
            </w:r>
          </w:p>
          <w:p w:rsidR="00C952CF" w:rsidRPr="00C952CF" w:rsidRDefault="00C952CF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B960FF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2. </w:t>
            </w:r>
            <w:r w:rsidR="00AB0DF4" w:rsidRPr="00C952CF">
              <w:rPr>
                <w:rFonts w:eastAsia="Times New Roman" w:cs="Times New Roman"/>
                <w:sz w:val="24"/>
                <w:szCs w:val="24"/>
              </w:rPr>
              <w:t>Do wglądu: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 xml:space="preserve">Cudzoziemiec niebędący obywatelem państwa członkowskiego Unii Europejskiej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przedstawia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wizę, a w przypadku, gdy wjazd cudzoziemca nastąpił na podstawie umowy przewidującej zniesienie lub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ograniczenie obowiązku posiadania wizy albo cudzoziemiec przebywa na terytorium Rzeczypospolitej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 xml:space="preserve">Polskiej na podstawie art. 108 ust. 1 </w:t>
            </w:r>
            <w:proofErr w:type="spellStart"/>
            <w:r w:rsidRPr="00C952CF">
              <w:rPr>
                <w:rFonts w:eastAsia="Times New Roman" w:cs="Times New Roman"/>
                <w:sz w:val="24"/>
                <w:szCs w:val="24"/>
              </w:rPr>
              <w:t>pkt</w:t>
            </w:r>
            <w:proofErr w:type="spellEnd"/>
            <w:r w:rsidRPr="00C952CF">
              <w:rPr>
                <w:rFonts w:eastAsia="Times New Roman" w:cs="Times New Roman"/>
                <w:sz w:val="24"/>
                <w:szCs w:val="24"/>
              </w:rPr>
              <w:t xml:space="preserve"> 2 lub art. 206 ust. 1 </w:t>
            </w:r>
            <w:proofErr w:type="spellStart"/>
            <w:r w:rsidRPr="00C952CF">
              <w:rPr>
                <w:rFonts w:eastAsia="Times New Roman" w:cs="Times New Roman"/>
                <w:sz w:val="24"/>
                <w:szCs w:val="24"/>
              </w:rPr>
              <w:t>pkt</w:t>
            </w:r>
            <w:proofErr w:type="spellEnd"/>
            <w:r w:rsidRPr="00C952CF">
              <w:rPr>
                <w:rFonts w:eastAsia="Times New Roman" w:cs="Times New Roman"/>
                <w:sz w:val="24"/>
                <w:szCs w:val="24"/>
              </w:rPr>
              <w:t xml:space="preserve"> 2 ustawy z dnia 12 grudnia 2013r.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 xml:space="preserve">o cudzoziemcach (Dz. U. poz. 1650) lub na podstawie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lastRenderedPageBreak/>
              <w:t>umieszczonego w dokumencie podróży odcisku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stempla, który potwierdza złożenie wniosku o udzielenie zezwolenia na pobyt rezydenta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długoterminowego Unii Europejskiej – dokument podróży, tymczasowe zaświadczenie tożsamości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cudzoziemca, kartę pobytu, dokument „zgoda na pobyt tolerowany” albo zezwolenie na pobyt czasowy,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zezwolenie na pobyt stały, zezwolenie na pobyt rezydenta długoterminowego Unii Europejskiej lub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decyzję o nadaniu statusu uchodźcy w Rzeczypospolitej Polskiej, udzieleniu w Rzeczypospolitej Polskiej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ochrony uzupełniającej, zgody na pobyt ze względów humanitarnych albo zgody na pobyt tolerowany,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Cudzoziemiec będący obywatelem państwa członkowskiego Unii Europejskiej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, obywatelem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państwa członkowskiego Europejskiego Porozumienia o Wolnym Handlu (EFTA) – strony umowy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o Europejskim Obszarze Gospodarczym lub obywatelem Konfederacji Szwajcarskiej przedstawia ważny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dokument podróży lub inny dokument potwierdzający jego tożsamość i obywatelstwo oraz ważny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dokument potwierdzający prawo stałego pobytu albo zaświadczenie o zarejestrowaniu pobytu obywatela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Unii Europejskiej lub w przypadku braku zaświadczenia, składa oświadczenie o zarejestrowaniu pobytu na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terytorium Rzeczypospolitej Polskiej,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Członek rodziny obywatela będącego obywatelem państwa członkowskiego Unii Europejskiej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,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obywatelem państwa członkowskiego Europejskiego Porozumienia o Wolnym Handlu (EFTA) – strony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umowy o Europejskim Obszarze Gospodarczym lub obywatelem Konfederacji Szwajcarskiej niebędący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 xml:space="preserve">obywatelem </w:t>
            </w:r>
            <w:r w:rsidR="00C952CF" w:rsidRPr="00C952CF">
              <w:rPr>
                <w:rFonts w:eastAsia="Times New Roman" w:cs="Times New Roman"/>
                <w:sz w:val="24"/>
                <w:szCs w:val="24"/>
              </w:rPr>
              <w:t>ww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. państw przedstawia ważny dokument podróży oraz ważną kartę stałego pobytu członka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rodziny obywatela Unii Europejskiej lub ważną kartę pobytu członka rodziny obywatela Unii Europejskiej,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- dokument potwierdzający tytuł prawny do lokalu np.: umowa cywilno-prawna, wypis z księgi wieczystej,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decyzja administracyjna, orzeczenie sądu lub inny dokument poświadczający tytuł prawny do lokalu,</w:t>
            </w:r>
          </w:p>
          <w:p w:rsidR="00B1090C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- pełnomocnictwo – (jeżeli został ustanowiony pełnomocnik) udzielone na piśmie lub zgłoszone do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protokołu, po okazaniu przez pełnomocnika do wglądu jego dowodu osobistego lub innego dokumentu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potwierdzającego tożsamość</w:t>
            </w:r>
            <w:r w:rsidR="00C952C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952CF" w:rsidRPr="00C952CF" w:rsidRDefault="00C952CF" w:rsidP="00C952CF">
            <w:pPr>
              <w:widowControl w:val="0"/>
              <w:spacing w:after="0" w:line="240" w:lineRule="auto"/>
              <w:ind w:left="113" w:right="113" w:hanging="284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Druk </w:t>
            </w: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 xml:space="preserve">Zgłoszenie pobytu czasowego,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druk do złożenia pełnomocnictwa oraz wniosek o wydanie</w:t>
            </w:r>
          </w:p>
          <w:p w:rsidR="00B1090C" w:rsidRDefault="00AB0DF4" w:rsidP="00B960F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zaświadczenia można pobrać w</w:t>
            </w:r>
            <w:r w:rsidR="00B960FF">
              <w:rPr>
                <w:rFonts w:eastAsia="Times New Roman" w:cs="Times New Roman"/>
                <w:sz w:val="24"/>
                <w:szCs w:val="24"/>
              </w:rPr>
              <w:t xml:space="preserve"> Urzędzie Gminy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– pokój nr 10, bądź</w:t>
            </w:r>
            <w:r w:rsidR="00B960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skorzystać z załączonych wzorów druków.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Nie podlega opłacie</w:t>
            </w:r>
            <w:r w:rsidR="00B960F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B1090C" w:rsidRPr="00C952CF" w:rsidRDefault="00B1090C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 xml:space="preserve">17 zł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– opłata skarbowa za złożenie pełnomocnictwa (w przypadku, gdy osoba zgłaszająca pobyt czasowy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działa przez pełnomocnika).</w:t>
            </w:r>
          </w:p>
          <w:p w:rsidR="00B1090C" w:rsidRPr="00C952CF" w:rsidRDefault="00B1090C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 xml:space="preserve">17 zł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– za wydanie zaświadczenia</w:t>
            </w:r>
          </w:p>
          <w:p w:rsidR="00B1090C" w:rsidRDefault="00AB0DF4" w:rsidP="00B960F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Nie podlega opłacie skarbowej wydanie zaświadczenia w sprawach wymienionych w art. 2 ust. 1 ustawy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z dnia 16 listopada 2006r. o opłacie skarbowej (Dz. U. z 2014 r., poz. 1628 ze zm.)</w:t>
            </w:r>
          </w:p>
          <w:p w:rsidR="00B960FF" w:rsidRPr="00C952CF" w:rsidRDefault="00B960FF" w:rsidP="00B960F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C952CF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 opłaty</w:t>
            </w:r>
            <w:r w:rsidR="00AB0DF4" w:rsidRPr="00C952CF">
              <w:rPr>
                <w:rFonts w:eastAsia="Times New Roman" w:cs="Times New Roman"/>
                <w:sz w:val="24"/>
                <w:szCs w:val="24"/>
              </w:rPr>
              <w:t xml:space="preserve"> dokonujemy na rachunku bankowym Urzędu Gminy:</w:t>
            </w:r>
            <w:r w:rsidR="009C0AAC" w:rsidRPr="00C952CF">
              <w:rPr>
                <w:rFonts w:eastAsia="Times New Roman" w:cs="Times New Roman"/>
                <w:sz w:val="24"/>
                <w:szCs w:val="24"/>
              </w:rPr>
              <w:t xml:space="preserve"> 61 9226 005 0050 0294 2000 0010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(w rubryce tytułem wpisać „za pełnomocnictwo”).</w:t>
            </w:r>
          </w:p>
          <w:p w:rsidR="00B1090C" w:rsidRPr="00C952CF" w:rsidRDefault="00B1090C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lastRenderedPageBreak/>
              <w:t>Czas załatwienia sprawy:</w:t>
            </w: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Niezwłocznie – w dniu zgłoszenia się z kompletem dokumentów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Nie przysługuje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B1090C" w:rsidRPr="00C952CF" w:rsidRDefault="00B960FF" w:rsidP="00B960FF">
            <w:pPr>
              <w:spacing w:after="0" w:line="240" w:lineRule="auto"/>
              <w:ind w:right="113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1. </w:t>
            </w:r>
            <w:r w:rsidR="00AB0DF4" w:rsidRPr="00C952CF">
              <w:rPr>
                <w:rFonts w:eastAsia="Times New Roman" w:cs="Times New Roman"/>
                <w:color w:val="222222"/>
                <w:sz w:val="24"/>
                <w:szCs w:val="24"/>
              </w:rPr>
              <w:t>Ustawa z dnia 24 września 2010r. o ewidencji ludności (Dz. U. Nr 217, poz. 1427 ze zm.)</w:t>
            </w:r>
          </w:p>
          <w:p w:rsidR="00B1090C" w:rsidRPr="00C952CF" w:rsidRDefault="00B960FF" w:rsidP="00B960FF">
            <w:pPr>
              <w:spacing w:after="0" w:line="240" w:lineRule="auto"/>
              <w:ind w:right="113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2. </w:t>
            </w:r>
            <w:r w:rsidR="00AB0DF4" w:rsidRPr="00C952CF">
              <w:rPr>
                <w:rFonts w:eastAsia="Times New Roman" w:cs="Times New Roman"/>
                <w:color w:val="222222"/>
                <w:sz w:val="24"/>
                <w:szCs w:val="24"/>
              </w:rPr>
              <w:t>Rozporządzenia MSW z dn. 29 września 2011r. w sprawie określania wzorów i sposobu wypełniania</w:t>
            </w:r>
            <w:r w:rsidR="00C952CF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r w:rsidR="00AB0DF4" w:rsidRPr="00C952CF">
              <w:rPr>
                <w:rFonts w:eastAsia="Times New Roman" w:cs="Times New Roman"/>
                <w:color w:val="222222"/>
                <w:sz w:val="24"/>
                <w:szCs w:val="24"/>
              </w:rPr>
              <w:t>formularzy stosowanych przy wykonywaniu obowiązku meldunkowego (Dz. U. Nr 220 poz. 1306 ze zm.)</w:t>
            </w:r>
          </w:p>
          <w:p w:rsidR="00B1090C" w:rsidRPr="00C952CF" w:rsidRDefault="00B960FF" w:rsidP="00B960FF">
            <w:pPr>
              <w:spacing w:after="0" w:line="240" w:lineRule="auto"/>
              <w:ind w:right="113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3. </w:t>
            </w:r>
            <w:r w:rsidR="00AB0DF4" w:rsidRPr="00C952CF">
              <w:rPr>
                <w:rFonts w:eastAsia="Times New Roman" w:cs="Times New Roman"/>
                <w:color w:val="222222"/>
                <w:sz w:val="24"/>
                <w:szCs w:val="24"/>
              </w:rPr>
              <w:t>Ustawa z dn. 14 czerwca 1960r. Kodeks Postępowania Administracyjnego (Dz. U. z 2013r. poz. 267 ze</w:t>
            </w:r>
            <w:r w:rsidR="00C952CF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r w:rsidR="00AB0DF4" w:rsidRPr="00C952CF">
              <w:rPr>
                <w:rFonts w:eastAsia="Times New Roman" w:cs="Times New Roman"/>
                <w:color w:val="222222"/>
                <w:sz w:val="24"/>
                <w:szCs w:val="24"/>
              </w:rPr>
              <w:t>zm.)</w:t>
            </w:r>
          </w:p>
          <w:p w:rsidR="00B1090C" w:rsidRDefault="00B960FF" w:rsidP="00B960FF">
            <w:pPr>
              <w:suppressLineNumbers/>
              <w:suppressAutoHyphens/>
              <w:spacing w:after="0" w:line="240" w:lineRule="auto"/>
              <w:ind w:right="113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4. </w:t>
            </w:r>
            <w:r w:rsidR="00AB0DF4" w:rsidRPr="00C952CF">
              <w:rPr>
                <w:rFonts w:eastAsia="Times New Roman" w:cs="Times New Roman"/>
                <w:color w:val="222222"/>
                <w:sz w:val="24"/>
                <w:szCs w:val="24"/>
              </w:rPr>
              <w:t>Ustawa z dn. 16 listopada 2006r. o opłacie skarbowej (Dz. U. z 2014r. poz. 1628 ze zm.)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1090C" w:rsidRPr="00C952CF" w:rsidTr="00120B0A">
        <w:trPr>
          <w:trHeight w:val="520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W przypadku zmiany miejsca pobytu czasowego nie jest wymagane wymeldowanie się z poprzedniego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miejsca pobytu czasowego. Czynności tej można dokonać przy zgłoszeniu nowego miejsca pobytu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czasowego.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Za osobę nieposiadającą pełnej zdolności do czynności prawnych obowiązek meldunkowy wykonuje jej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przedstawiciel ustawowy lub inna osoba sprawująca nad nią faktyczną opiekę w miejscu ich wspólnego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pobytu.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Cudzoziemiec będący obywatelem państwa członkowskiego Unii Europejskiej, obywatelem państwa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członkowskiego Europejskiego Porozumienia o Wolnym Handlu (EFTA) – strony umowy o Europejskim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Obszarze Gospodarczym lub obywatelem Konfederacji Szwajcarskiej oraz członek rodziny takiego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cudzoziemca przebywający na terytorium Rzeczypospolitej Polskiej, jest obowiązany zameldować się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w miejscu pobytu stałego najpóźniej w 30. dniu, licząc od dnia przybycia do tego miejsca.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Cudzoziemiec niebędący obywatelem państw członkowskich Unii Europejskiej ani członkiem rodziny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obywatela tych państw, przebywający na terytorium Rzeczypospolitej Polskiej, jest obowiązany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zameldować się w miejscu pobytu stałego najpóźniej w 4. dniu, licząc od dnia przybycia do tego miejsca,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chyba że jego pobyt na terytorium Rzeczypospolitej Polskiej nie przekracza 14 dni. Deklarowany przez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cudzoziemca wyżej wymienionego pobyt czasowy pod określonym adresem nie może przekroczyć okresu,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w którym cudzoziemiec może legalnie przebywać na terytorium Rzeczypospolitej Polskiej, zgodnie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z dokumentem potwierdzającym jego prawo pobytu.</w:t>
            </w:r>
          </w:p>
          <w:p w:rsidR="00B1090C" w:rsidRPr="00C952CF" w:rsidRDefault="00B1090C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Przy zameldowaniu na pobyt czasowy należy przedstawić potwierdzenie pobytu w lokalu osoby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zgłaszającej pobyt czasowy dokonane przez właściciela lub inny podmiot dysponujący tytułem prawnym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do lokalu.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Zameldowania na pobyt czasowy można dopełnić przez pełnomocnika, legitymującego się</w:t>
            </w:r>
          </w:p>
          <w:p w:rsidR="00B1090C" w:rsidRPr="00C952CF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pełnomocnictwem udzielonym w formie, o której mowa w art. 33 § 2 ustawy z dnia 14 czerwca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lastRenderedPageBreak/>
              <w:t>1960r. –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Kodeks postępowania administracyjnego (Dz. U. z 2013 r. poz. 267 ze zm</w:t>
            </w:r>
            <w:r w:rsidR="00C952CF">
              <w:rPr>
                <w:rFonts w:eastAsia="Times New Roman" w:cs="Times New Roman"/>
                <w:sz w:val="24"/>
                <w:szCs w:val="24"/>
              </w:rPr>
              <w:t>.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), po okazaniu przez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pełnomocnika do wglądu jego dowodu osobistego lub paszportu.</w:t>
            </w:r>
          </w:p>
          <w:p w:rsidR="00B1090C" w:rsidRPr="00C952CF" w:rsidRDefault="00B1090C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Default="00AB0DF4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Osoba zgłaszająca pobyt czasowy może otrzymać zaświadczenie o zameldowaniu na własny wniosek.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Zaświadczenie jest ważne do chwili zmiany miejsca zameldowania, jednak nie dłużej niż do upływu</w:t>
            </w:r>
            <w:r w:rsidR="00C952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>terminu zameldowania.</w:t>
            </w:r>
          </w:p>
          <w:p w:rsidR="00C952CF" w:rsidRPr="00C952CF" w:rsidRDefault="00C952CF" w:rsidP="00C952CF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1090C" w:rsidRPr="00C952CF" w:rsidRDefault="00B960F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Sporządziła:</w:t>
            </w:r>
          </w:p>
          <w:p w:rsidR="00B1090C" w:rsidRPr="00B960FF" w:rsidRDefault="00B960F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960FF">
              <w:rPr>
                <w:rFonts w:eastAsia="Times New Roman" w:cs="Times New Roman"/>
                <w:b/>
                <w:sz w:val="24"/>
                <w:szCs w:val="24"/>
              </w:rPr>
              <w:t>Monika Michalczyk</w:t>
            </w:r>
          </w:p>
          <w:p w:rsidR="00B960FF" w:rsidRPr="00C952CF" w:rsidRDefault="00B960F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960FF">
              <w:rPr>
                <w:rFonts w:eastAsia="Times New Roman" w:cs="Times New Roman"/>
                <w:b/>
                <w:sz w:val="24"/>
                <w:szCs w:val="24"/>
              </w:rPr>
              <w:t>16.09.2016r.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0F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 xml:space="preserve">Sprawdził: 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Kierownik Referatu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960F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 xml:space="preserve">Zatwierdził: 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Wójt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sectPr w:rsidR="00B1090C" w:rsidRPr="00C952CF" w:rsidSect="00120B0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D7D77"/>
    <w:multiLevelType w:val="hybridMultilevel"/>
    <w:tmpl w:val="A230B512"/>
    <w:lvl w:ilvl="0" w:tplc="26E0AAB6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90C"/>
    <w:rsid w:val="00044C68"/>
    <w:rsid w:val="00064EE8"/>
    <w:rsid w:val="00120B0A"/>
    <w:rsid w:val="003032FC"/>
    <w:rsid w:val="003C63BA"/>
    <w:rsid w:val="00705D19"/>
    <w:rsid w:val="007D1E52"/>
    <w:rsid w:val="009C0AAC"/>
    <w:rsid w:val="00AB0DF4"/>
    <w:rsid w:val="00B1090C"/>
    <w:rsid w:val="00B960FF"/>
    <w:rsid w:val="00C952CF"/>
    <w:rsid w:val="00CF393B"/>
    <w:rsid w:val="00E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Gmina</cp:lastModifiedBy>
  <cp:revision>4</cp:revision>
  <cp:lastPrinted>2016-09-15T08:43:00Z</cp:lastPrinted>
  <dcterms:created xsi:type="dcterms:W3CDTF">2016-09-15T07:06:00Z</dcterms:created>
  <dcterms:modified xsi:type="dcterms:W3CDTF">2016-09-15T08:43:00Z</dcterms:modified>
</cp:coreProperties>
</file>